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2"/>
        <w:gridCol w:w="7376"/>
      </w:tblGrid>
      <w:tr w:rsidR="00FF6F33" w:rsidRPr="001B63A4" w:rsidTr="000B29D1">
        <w:trPr>
          <w:trHeight w:val="211"/>
        </w:trPr>
        <w:tc>
          <w:tcPr>
            <w:tcW w:w="2268" w:type="dxa"/>
          </w:tcPr>
          <w:p w:rsidR="00FF6F33" w:rsidRPr="001B63A4" w:rsidRDefault="00FF6F33" w:rsidP="00FF6F33">
            <w:pPr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562" w:type="dxa"/>
          </w:tcPr>
          <w:p w:rsidR="00FF6F33" w:rsidRPr="001B63A4" w:rsidRDefault="00FF6F33" w:rsidP="00FF6F33">
            <w:pPr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7376" w:type="dxa"/>
            <w:vAlign w:val="center"/>
          </w:tcPr>
          <w:p w:rsidR="00FF6F33" w:rsidRPr="001B63A4" w:rsidRDefault="00BE540C" w:rsidP="006B1599">
            <w:pPr>
              <w:jc w:val="right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hyperlink r:id="rId8" w:history="1">
              <w:r w:rsidR="006B1599" w:rsidRPr="001B63A4">
                <w:rPr>
                  <w:rStyle w:val="Hyperlink0"/>
                  <w:rFonts w:ascii="Arial" w:hAnsi="Arial" w:cs="Arial"/>
                  <w:color w:val="auto"/>
                  <w:sz w:val="14"/>
                  <w:szCs w:val="14"/>
                </w:rPr>
                <w:t>https://eventos.utfpr.edu.br//sei/sei2017</w:t>
              </w:r>
            </w:hyperlink>
          </w:p>
        </w:tc>
      </w:tr>
      <w:tr w:rsidR="00FF6F33" w:rsidRPr="001B63A4" w:rsidTr="000B29D1">
        <w:trPr>
          <w:trHeight w:val="1964"/>
        </w:trPr>
        <w:tc>
          <w:tcPr>
            <w:tcW w:w="2268" w:type="dxa"/>
          </w:tcPr>
          <w:p w:rsidR="00FF6F33" w:rsidRPr="001B63A4" w:rsidRDefault="00FF6F33" w:rsidP="00FF6F33">
            <w:pPr>
              <w:jc w:val="left"/>
              <w:rPr>
                <w:color w:val="auto"/>
              </w:rPr>
            </w:pPr>
          </w:p>
        </w:tc>
        <w:tc>
          <w:tcPr>
            <w:tcW w:w="562" w:type="dxa"/>
          </w:tcPr>
          <w:p w:rsidR="00FF6F33" w:rsidRPr="001B63A4" w:rsidRDefault="00FF6F33" w:rsidP="00FF6F33">
            <w:pPr>
              <w:jc w:val="left"/>
              <w:rPr>
                <w:color w:val="auto"/>
              </w:rPr>
            </w:pPr>
          </w:p>
        </w:tc>
        <w:tc>
          <w:tcPr>
            <w:tcW w:w="7376" w:type="dxa"/>
            <w:vAlign w:val="center"/>
          </w:tcPr>
          <w:p w:rsidR="006B1599" w:rsidRPr="001B63A4" w:rsidRDefault="006057EB" w:rsidP="00B01E9A">
            <w:pPr>
              <w:pStyle w:val="tituloprincipal"/>
            </w:pPr>
            <w:r w:rsidRPr="001B63A4">
              <w:t>Abordagem molecular da Doença de Huntington</w:t>
            </w:r>
          </w:p>
          <w:p w:rsidR="0075701C" w:rsidRPr="001B63A4" w:rsidRDefault="0075701C" w:rsidP="004C5B64">
            <w:pPr>
              <w:pStyle w:val="secaoprimcentral"/>
              <w:rPr>
                <w:color w:val="auto"/>
              </w:rPr>
            </w:pPr>
            <w:r w:rsidRPr="001B63A4">
              <w:rPr>
                <w:color w:val="auto"/>
              </w:rPr>
              <w:t>RESUMO</w:t>
            </w:r>
          </w:p>
        </w:tc>
      </w:tr>
      <w:tr w:rsidR="00FF6F33" w:rsidRPr="001B63A4" w:rsidTr="000B29D1">
        <w:trPr>
          <w:trHeight w:val="7925"/>
        </w:trPr>
        <w:tc>
          <w:tcPr>
            <w:tcW w:w="2268" w:type="dxa"/>
          </w:tcPr>
          <w:p w:rsidR="006057EB" w:rsidRPr="001B63A4" w:rsidRDefault="006057EB" w:rsidP="006057EB">
            <w:pPr>
              <w:pStyle w:val="afiliacao"/>
              <w:rPr>
                <w:color w:val="auto"/>
              </w:rPr>
            </w:pPr>
          </w:p>
          <w:p w:rsidR="0083299E" w:rsidRPr="00FF6F33" w:rsidRDefault="0083299E" w:rsidP="0083299E">
            <w:pPr>
              <w:pStyle w:val="autor"/>
            </w:pPr>
            <w:r>
              <w:t>Paulo Henrique Claudino</w:t>
            </w:r>
            <w:r w:rsidRPr="006B1599">
              <w:t xml:space="preserve"> </w:t>
            </w:r>
          </w:p>
          <w:p w:rsidR="0083299E" w:rsidRDefault="0083299E" w:rsidP="0083299E">
            <w:pPr>
              <w:pStyle w:val="emailautoreOrcid"/>
            </w:pPr>
            <w:r>
              <w:t>claudinop05</w:t>
            </w:r>
            <w:r w:rsidRPr="006B1599">
              <w:t>@</w:t>
            </w:r>
            <w:r>
              <w:t>gmail.com</w:t>
            </w:r>
            <w:r w:rsidRPr="006B1599">
              <w:t xml:space="preserve"> </w:t>
            </w:r>
          </w:p>
          <w:p w:rsidR="0083299E" w:rsidRDefault="0083299E" w:rsidP="0083299E">
            <w:pPr>
              <w:pStyle w:val="afiliacao"/>
            </w:pPr>
            <w:r>
              <w:t>Universidade Tecnológica Federal do Paraná</w:t>
            </w:r>
            <w:r w:rsidRPr="00FF6F33">
              <w:t>,</w:t>
            </w:r>
            <w:r>
              <w:t xml:space="preserve"> Dois Vizinhos, Paraná, Brasil</w:t>
            </w:r>
          </w:p>
          <w:p w:rsidR="0083299E" w:rsidRPr="00FF6F33" w:rsidRDefault="0083299E" w:rsidP="0083299E">
            <w:pPr>
              <w:pStyle w:val="autor"/>
            </w:pPr>
            <w:r>
              <w:t>Lucimara Ascari Barboza</w:t>
            </w:r>
            <w:r w:rsidRPr="006B1599">
              <w:t xml:space="preserve"> </w:t>
            </w:r>
          </w:p>
          <w:p w:rsidR="0083299E" w:rsidRDefault="0083299E" w:rsidP="0083299E">
            <w:pPr>
              <w:pStyle w:val="emailautoreOrcid"/>
            </w:pPr>
            <w:r>
              <w:t>luascaribarboza</w:t>
            </w:r>
            <w:r w:rsidRPr="006B1599">
              <w:t>@</w:t>
            </w:r>
            <w:r>
              <w:t>gmail.com</w:t>
            </w:r>
            <w:r w:rsidRPr="006B1599">
              <w:t xml:space="preserve"> </w:t>
            </w:r>
          </w:p>
          <w:p w:rsidR="0083299E" w:rsidRDefault="0083299E" w:rsidP="0083299E">
            <w:pPr>
              <w:pStyle w:val="afiliacao"/>
            </w:pPr>
            <w:r>
              <w:t>Universidade Tecnológica Federal do Paraná</w:t>
            </w:r>
            <w:r w:rsidRPr="00FF6F33">
              <w:t>,</w:t>
            </w:r>
            <w:r>
              <w:t xml:space="preserve"> Dois Vizinhos, Paraná, Brasil</w:t>
            </w:r>
          </w:p>
          <w:p w:rsidR="0083299E" w:rsidRPr="00FF6F33" w:rsidRDefault="0083299E" w:rsidP="0083299E">
            <w:pPr>
              <w:pStyle w:val="autor"/>
            </w:pPr>
            <w:r>
              <w:t>Nédia de Castilhos Ghisi (orientador)</w:t>
            </w:r>
          </w:p>
          <w:p w:rsidR="0083299E" w:rsidRDefault="0083299E" w:rsidP="0083299E">
            <w:pPr>
              <w:pStyle w:val="emailautoreOrcid"/>
            </w:pPr>
            <w:r>
              <w:t>nediaghisi</w:t>
            </w:r>
            <w:r w:rsidRPr="006B1599">
              <w:t>@</w:t>
            </w:r>
            <w:r>
              <w:t>gmail.com</w:t>
            </w:r>
            <w:r w:rsidRPr="006B1599">
              <w:t xml:space="preserve"> </w:t>
            </w:r>
          </w:p>
          <w:p w:rsidR="0083299E" w:rsidRDefault="0083299E" w:rsidP="0083299E">
            <w:pPr>
              <w:pStyle w:val="afiliacao"/>
            </w:pPr>
            <w:r>
              <w:t>Universidade Tecnológica Federal do Paraná</w:t>
            </w:r>
            <w:r w:rsidRPr="00FF6F33">
              <w:t>,</w:t>
            </w:r>
            <w:r>
              <w:t xml:space="preserve"> Dois Vizinhos, Paraná, Brasil</w:t>
            </w:r>
          </w:p>
          <w:p w:rsidR="006057EB" w:rsidRPr="001B63A4" w:rsidRDefault="006057EB" w:rsidP="006057EB">
            <w:pPr>
              <w:pStyle w:val="afiliacao"/>
              <w:rPr>
                <w:color w:val="auto"/>
              </w:rPr>
            </w:pPr>
          </w:p>
          <w:p w:rsidR="006057EB" w:rsidRPr="001B63A4" w:rsidRDefault="006057EB" w:rsidP="00FF6F33">
            <w:pPr>
              <w:pStyle w:val="afiliacao"/>
              <w:rPr>
                <w:b/>
                <w:color w:val="auto"/>
              </w:rPr>
            </w:pPr>
          </w:p>
          <w:p w:rsidR="006057EB" w:rsidRPr="001B63A4" w:rsidRDefault="006057EB" w:rsidP="00FF6F33">
            <w:pPr>
              <w:pStyle w:val="afiliacao"/>
              <w:rPr>
                <w:b/>
                <w:color w:val="auto"/>
              </w:rPr>
            </w:pPr>
          </w:p>
          <w:p w:rsidR="00FF6F33" w:rsidRPr="001B63A4" w:rsidRDefault="00B42240" w:rsidP="006B1599">
            <w:pPr>
              <w:pStyle w:val="afiliacao"/>
              <w:rPr>
                <w:b/>
                <w:color w:val="auto"/>
                <w:sz w:val="12"/>
              </w:rPr>
            </w:pPr>
            <w:r w:rsidRPr="001B63A4">
              <w:rPr>
                <w:color w:val="auto"/>
                <w:sz w:val="12"/>
              </w:rPr>
              <w:t xml:space="preserve"> </w:t>
            </w:r>
          </w:p>
        </w:tc>
        <w:tc>
          <w:tcPr>
            <w:tcW w:w="562" w:type="dxa"/>
          </w:tcPr>
          <w:p w:rsidR="00FF6F33" w:rsidRPr="001B63A4" w:rsidRDefault="00FF6F33" w:rsidP="00FF6F33">
            <w:pPr>
              <w:rPr>
                <w:color w:val="auto"/>
              </w:rPr>
            </w:pPr>
          </w:p>
        </w:tc>
        <w:tc>
          <w:tcPr>
            <w:tcW w:w="7376" w:type="dxa"/>
          </w:tcPr>
          <w:p w:rsidR="00E2414A" w:rsidRPr="001B63A4" w:rsidRDefault="00E2414A" w:rsidP="00666B25">
            <w:pPr>
              <w:pStyle w:val="resumo"/>
              <w:rPr>
                <w:rStyle w:val="resumoanteposto"/>
                <w:color w:val="auto"/>
              </w:rPr>
            </w:pPr>
          </w:p>
          <w:p w:rsidR="00B05FD7" w:rsidRDefault="0097089A" w:rsidP="00666B25">
            <w:pPr>
              <w:pStyle w:val="resumo"/>
            </w:pPr>
            <w:r>
              <w:rPr>
                <w:rStyle w:val="resumoanteposto"/>
                <w:b w:val="0"/>
                <w:color w:val="auto"/>
              </w:rPr>
              <w:t>O presente trabalho teve como objetivo f</w:t>
            </w:r>
            <w:r w:rsidR="00E24A0B" w:rsidRPr="001B63A4">
              <w:rPr>
                <w:rStyle w:val="resumoanteposto"/>
                <w:b w:val="0"/>
                <w:color w:val="auto"/>
              </w:rPr>
              <w:t xml:space="preserve">ornecer alternativas de diagnóstico e embasamento para aconselhamento genético envolvendo a Doença de Huntington (HD), tendo em vista que é uma doença autossômica dominante, </w:t>
            </w:r>
            <w:r w:rsidR="00666B25" w:rsidRPr="001B63A4">
              <w:rPr>
                <w:rStyle w:val="resumoanteposto"/>
                <w:b w:val="0"/>
                <w:color w:val="auto"/>
              </w:rPr>
              <w:t xml:space="preserve">fatal </w:t>
            </w:r>
            <w:r w:rsidR="00E24A0B" w:rsidRPr="001B63A4">
              <w:rPr>
                <w:rStyle w:val="resumoanteposto"/>
                <w:b w:val="0"/>
                <w:color w:val="auto"/>
              </w:rPr>
              <w:t>e sem tratamento eficiente disponível na rede pública de saúde</w:t>
            </w:r>
            <w:r>
              <w:t xml:space="preserve">. </w:t>
            </w:r>
            <w:r w:rsidR="00E24A0B" w:rsidRPr="001B63A4">
              <w:t xml:space="preserve">As amostras utilizadas nos estudos foram colhidas de </w:t>
            </w:r>
            <w:r w:rsidR="002E71CE">
              <w:t xml:space="preserve">quatro </w:t>
            </w:r>
            <w:r w:rsidR="00E24A0B" w:rsidRPr="001B63A4">
              <w:t>participantes voluntários pertencentes a uma família possuindo histórico de HD</w:t>
            </w:r>
            <w:r w:rsidR="002E71CE">
              <w:t>, sendo dois homens e duas mulheres, todos maiores de dezoito anos</w:t>
            </w:r>
            <w:r w:rsidR="00E24A0B" w:rsidRPr="001B63A4">
              <w:t>. As etapas laboratoriais envolveram</w:t>
            </w:r>
            <w:r w:rsidR="00964A45">
              <w:t xml:space="preserve"> amplificação do gene de interesse por </w:t>
            </w:r>
            <w:r w:rsidR="00E24A0B" w:rsidRPr="001B63A4">
              <w:t xml:space="preserve">PCR com </w:t>
            </w:r>
            <w:r w:rsidR="00E24A0B" w:rsidRPr="001B63A4">
              <w:rPr>
                <w:i/>
              </w:rPr>
              <w:t>primers</w:t>
            </w:r>
            <w:r w:rsidR="00E24A0B" w:rsidRPr="001B63A4">
              <w:t xml:space="preserve"> apropriados e corrida eletroforética</w:t>
            </w:r>
            <w:r w:rsidR="00DE3986" w:rsidRPr="001B63A4">
              <w:t xml:space="preserve">. O DNA de um </w:t>
            </w:r>
            <w:r w:rsidR="00E24A0B" w:rsidRPr="001B63A4">
              <w:t>indiv</w:t>
            </w:r>
            <w:r w:rsidR="00027BDA" w:rsidRPr="001B63A4">
              <w:t>íduo</w:t>
            </w:r>
            <w:r w:rsidR="00DE3986" w:rsidRPr="001B63A4">
              <w:t xml:space="preserve"> diagnosticado com HD foi usado como padrão para avaliar a situação dos demais, comparando o número de pares de bases de cada um</w:t>
            </w:r>
            <w:r w:rsidR="00B42240" w:rsidRPr="001B63A4">
              <w:t>.</w:t>
            </w:r>
            <w:r w:rsidR="00DE3986" w:rsidRPr="001B63A4">
              <w:t xml:space="preserve"> Além disso, trabalho de cunho educativo/social foi realizado para esclarecer dúvidas sobre a doença</w:t>
            </w:r>
            <w:r>
              <w:rPr>
                <w:rStyle w:val="resumoanteposto"/>
                <w:color w:val="auto"/>
              </w:rPr>
              <w:t xml:space="preserve">. </w:t>
            </w:r>
            <w:r w:rsidR="00027BDA" w:rsidRPr="001B63A4">
              <w:rPr>
                <w:rStyle w:val="resumoanteposto"/>
                <w:b w:val="0"/>
                <w:color w:val="auto"/>
              </w:rPr>
              <w:t>A</w:t>
            </w:r>
            <w:r>
              <w:rPr>
                <w:rStyle w:val="resumoanteposto"/>
                <w:b w:val="0"/>
                <w:color w:val="auto"/>
              </w:rPr>
              <w:t>o fim da metodologia, a</w:t>
            </w:r>
            <w:r w:rsidR="00027BDA" w:rsidRPr="001B63A4">
              <w:rPr>
                <w:rStyle w:val="resumoanteposto"/>
                <w:b w:val="0"/>
                <w:color w:val="auto"/>
              </w:rPr>
              <w:t xml:space="preserve"> corrida eletroforética revelou</w:t>
            </w:r>
            <w:r w:rsidR="00DE3986" w:rsidRPr="001B63A4">
              <w:rPr>
                <w:rStyle w:val="resumoanteposto"/>
                <w:b w:val="0"/>
                <w:color w:val="auto"/>
              </w:rPr>
              <w:t xml:space="preserve"> padrões entre os indivíduos que se relacionavam ao número de pares de bases, e estes por sua vez, à manifestação ou não dos sintomas da HD</w:t>
            </w:r>
            <w:r w:rsidR="00B42240" w:rsidRPr="001B63A4">
              <w:t xml:space="preserve">. </w:t>
            </w:r>
            <w:r w:rsidRPr="009C79D8">
              <w:rPr>
                <w:rStyle w:val="resumoanteposto"/>
                <w:b w:val="0"/>
              </w:rPr>
              <w:t>Concluiu-se então que as</w:t>
            </w:r>
            <w:r>
              <w:rPr>
                <w:rStyle w:val="resumoanteposto"/>
              </w:rPr>
              <w:t xml:space="preserve"> </w:t>
            </w:r>
            <w:r w:rsidR="00DE3986" w:rsidRPr="001B63A4">
              <w:t xml:space="preserve">ferramentas de Biologia Molecular mostraram-se grandes aliadas no diagnóstico da HD e podem representar novas chances para inovações e atenção por parte do sistema de saúde pública no que se refere às doenças genéticas em geral. </w:t>
            </w:r>
            <w:r w:rsidR="00B869FF">
              <w:t xml:space="preserve">Os benefícios em sua utilização são inclusive de ordem financeira, já que os diagnósticos mais rotineiros envolvem uma série de exames custosos, o que pode ser atenuado ou revertido por práticas laboratoriais.  </w:t>
            </w:r>
          </w:p>
          <w:p w:rsidR="00D11DE1" w:rsidRPr="001B63A4" w:rsidRDefault="00B42240" w:rsidP="00666B25">
            <w:pPr>
              <w:pStyle w:val="resumo"/>
            </w:pPr>
            <w:r w:rsidRPr="001B63A4">
              <w:rPr>
                <w:rStyle w:val="palavras-chave"/>
                <w:color w:val="auto"/>
              </w:rPr>
              <w:t>PALAVRAS-CHAVE:</w:t>
            </w:r>
            <w:r w:rsidRPr="001B63A4">
              <w:t xml:space="preserve"> </w:t>
            </w:r>
            <w:r w:rsidR="00755C8C" w:rsidRPr="001B63A4">
              <w:t>Huntingtin</w:t>
            </w:r>
            <w:r w:rsidR="00BA54D3">
              <w:t>a</w:t>
            </w:r>
            <w:r w:rsidRPr="001B63A4">
              <w:t xml:space="preserve">. </w:t>
            </w:r>
            <w:r w:rsidR="00475197" w:rsidRPr="001B63A4">
              <w:t>Diagnóstico molecular. Aconselhamento genético</w:t>
            </w:r>
            <w:r w:rsidRPr="001B63A4">
              <w:t>.</w:t>
            </w:r>
          </w:p>
          <w:p w:rsidR="007D115C" w:rsidRPr="001B63A4" w:rsidRDefault="007D115C" w:rsidP="00666B25">
            <w:pPr>
              <w:pStyle w:val="resumo"/>
            </w:pPr>
          </w:p>
          <w:p w:rsidR="007D115C" w:rsidRPr="001B63A4" w:rsidRDefault="007D115C" w:rsidP="007D115C">
            <w:pPr>
              <w:rPr>
                <w:color w:val="auto"/>
              </w:rPr>
            </w:pPr>
          </w:p>
          <w:p w:rsidR="007D115C" w:rsidRPr="001B63A4" w:rsidRDefault="007D115C" w:rsidP="007D115C">
            <w:pPr>
              <w:rPr>
                <w:color w:val="auto"/>
              </w:rPr>
            </w:pPr>
          </w:p>
          <w:p w:rsidR="007D115C" w:rsidRPr="001B63A4" w:rsidRDefault="007D115C" w:rsidP="007D115C">
            <w:pPr>
              <w:rPr>
                <w:color w:val="auto"/>
              </w:rPr>
            </w:pPr>
          </w:p>
          <w:p w:rsidR="007D115C" w:rsidRPr="001B63A4" w:rsidRDefault="007D115C" w:rsidP="007D115C">
            <w:pPr>
              <w:rPr>
                <w:color w:val="auto"/>
              </w:rPr>
            </w:pPr>
          </w:p>
          <w:p w:rsidR="00FF6F33" w:rsidRPr="001B63A4" w:rsidRDefault="007D115C" w:rsidP="007D115C">
            <w:pPr>
              <w:tabs>
                <w:tab w:val="left" w:pos="6377"/>
              </w:tabs>
              <w:rPr>
                <w:color w:val="auto"/>
              </w:rPr>
            </w:pPr>
            <w:r w:rsidRPr="001B63A4">
              <w:rPr>
                <w:color w:val="auto"/>
              </w:rPr>
              <w:tab/>
            </w:r>
          </w:p>
        </w:tc>
      </w:tr>
    </w:tbl>
    <w:p w:rsidR="0075701C" w:rsidRPr="001B63A4" w:rsidRDefault="0075701C" w:rsidP="00FF6F33">
      <w:pPr>
        <w:spacing w:before="360" w:after="240" w:line="360" w:lineRule="auto"/>
        <w:ind w:left="2835" w:firstLine="567"/>
        <w:jc w:val="left"/>
        <w:rPr>
          <w:b/>
          <w:color w:val="auto"/>
        </w:rPr>
      </w:pPr>
    </w:p>
    <w:p w:rsidR="0075701C" w:rsidRPr="001B63A4" w:rsidRDefault="0075701C">
      <w:pPr>
        <w:spacing w:after="160" w:line="259" w:lineRule="auto"/>
        <w:jc w:val="left"/>
        <w:rPr>
          <w:b/>
          <w:color w:val="auto"/>
        </w:rPr>
      </w:pPr>
      <w:r w:rsidRPr="001B63A4">
        <w:rPr>
          <w:b/>
          <w:color w:val="auto"/>
        </w:rPr>
        <w:br w:type="page"/>
      </w:r>
    </w:p>
    <w:p w:rsidR="00FF6F33" w:rsidRPr="00002FE5" w:rsidRDefault="00F26318" w:rsidP="00E616F5">
      <w:pPr>
        <w:pStyle w:val="secaoprimaria"/>
      </w:pPr>
      <w:r w:rsidRPr="00002FE5">
        <w:lastRenderedPageBreak/>
        <w:t xml:space="preserve">1 </w:t>
      </w:r>
      <w:r w:rsidR="00FF6F33" w:rsidRPr="00002FE5">
        <w:t>INTRODUÇÃO</w:t>
      </w:r>
    </w:p>
    <w:p w:rsidR="00B42240" w:rsidRPr="001B63A4" w:rsidRDefault="00F26318" w:rsidP="00666B25">
      <w:pPr>
        <w:pStyle w:val="texto"/>
        <w:rPr>
          <w:color w:val="auto"/>
        </w:rPr>
      </w:pPr>
      <w:r w:rsidRPr="001B63A4">
        <w:rPr>
          <w:color w:val="auto"/>
        </w:rPr>
        <w:t>Segundo a Organização Mundial da Saúde (OMS), o aconselhamento genético tem como objetivo prestar esclarecimento sobre genótipos que poderiam causar problema</w:t>
      </w:r>
      <w:r w:rsidR="00FF446A">
        <w:rPr>
          <w:color w:val="auto"/>
        </w:rPr>
        <w:t>s aos indivíduos que os portam</w:t>
      </w:r>
      <w:r w:rsidR="002C54E3">
        <w:rPr>
          <w:color w:val="auto"/>
        </w:rPr>
        <w:t xml:space="preserve"> </w:t>
      </w:r>
      <w:r w:rsidR="004E6A7A" w:rsidRPr="001B63A4">
        <w:rPr>
          <w:color w:val="auto"/>
        </w:rPr>
        <w:t xml:space="preserve">(GROSSI </w:t>
      </w:r>
      <w:r w:rsidR="00E61514" w:rsidRPr="001B63A4">
        <w:rPr>
          <w:color w:val="auto"/>
        </w:rPr>
        <w:t>et al</w:t>
      </w:r>
      <w:r w:rsidR="00B85819" w:rsidRPr="001B63A4">
        <w:rPr>
          <w:color w:val="auto"/>
        </w:rPr>
        <w:t>.</w:t>
      </w:r>
      <w:r w:rsidR="00E61514" w:rsidRPr="001B63A4">
        <w:rPr>
          <w:color w:val="auto"/>
        </w:rPr>
        <w:t>, 2009).</w:t>
      </w:r>
      <w:r w:rsidR="00FF446A">
        <w:rPr>
          <w:color w:val="auto"/>
        </w:rPr>
        <w:t xml:space="preserve"> </w:t>
      </w:r>
      <w:r w:rsidRPr="001B63A4">
        <w:rPr>
          <w:color w:val="auto"/>
        </w:rPr>
        <w:t xml:space="preserve">Ao longo das gerações de uma família, pode-se acompanhar o curso das doenças genéticas, bem como incentivar </w:t>
      </w:r>
      <w:r w:rsidR="00E61514" w:rsidRPr="001B63A4">
        <w:rPr>
          <w:color w:val="auto"/>
        </w:rPr>
        <w:t>atitudes</w:t>
      </w:r>
      <w:r w:rsidRPr="001B63A4">
        <w:rPr>
          <w:color w:val="auto"/>
        </w:rPr>
        <w:t xml:space="preserve"> ideais frente à situação. Porém, tal processo é demorado e depende de uma equipe multidisciplinar de profissionais para atuar desde o diagnóstico, até </w:t>
      </w:r>
      <w:r w:rsidR="001273D5" w:rsidRPr="001B63A4">
        <w:rPr>
          <w:color w:val="auto"/>
        </w:rPr>
        <w:t>o tratamento, mesmo que paliativo</w:t>
      </w:r>
      <w:r w:rsidR="00666B25" w:rsidRPr="001B63A4">
        <w:rPr>
          <w:color w:val="auto"/>
        </w:rPr>
        <w:t>,</w:t>
      </w:r>
      <w:r w:rsidR="001273D5" w:rsidRPr="001B63A4">
        <w:rPr>
          <w:color w:val="auto"/>
        </w:rPr>
        <w:t xml:space="preserve"> </w:t>
      </w:r>
      <w:r w:rsidRPr="001B63A4">
        <w:rPr>
          <w:color w:val="auto"/>
        </w:rPr>
        <w:t>de cada caso. Dessa maneira, o aconselhamento genético acontece de uma forma mais educativa do que generalizada, se encar</w:t>
      </w:r>
      <w:r w:rsidR="006512B9" w:rsidRPr="001B63A4">
        <w:rPr>
          <w:color w:val="auto"/>
        </w:rPr>
        <w:t xml:space="preserve">ado do </w:t>
      </w:r>
      <w:r w:rsidR="004E6A7A" w:rsidRPr="001B63A4">
        <w:rPr>
          <w:color w:val="auto"/>
        </w:rPr>
        <w:t>ponto de vista médico (GROSSI</w:t>
      </w:r>
      <w:r w:rsidR="006512B9" w:rsidRPr="001B63A4">
        <w:rPr>
          <w:color w:val="auto"/>
        </w:rPr>
        <w:t xml:space="preserve"> et al</w:t>
      </w:r>
      <w:r w:rsidR="00B85819" w:rsidRPr="001B63A4">
        <w:rPr>
          <w:color w:val="auto"/>
        </w:rPr>
        <w:t>.</w:t>
      </w:r>
      <w:r w:rsidR="006512B9" w:rsidRPr="001B63A4">
        <w:rPr>
          <w:color w:val="auto"/>
        </w:rPr>
        <w:t>, 2009).</w:t>
      </w:r>
    </w:p>
    <w:p w:rsidR="00B42240" w:rsidRPr="001B63A4" w:rsidRDefault="00330F2D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Não diferente da escala global, o Brasil passa por momentos de </w:t>
      </w:r>
      <w:r w:rsidR="006512B9" w:rsidRPr="001B63A4">
        <w:rPr>
          <w:color w:val="auto"/>
        </w:rPr>
        <w:t xml:space="preserve">incertezas </w:t>
      </w:r>
      <w:r w:rsidRPr="001B63A4">
        <w:rPr>
          <w:color w:val="auto"/>
        </w:rPr>
        <w:t>em relação às respostas governam</w:t>
      </w:r>
      <w:r w:rsidR="006512B9" w:rsidRPr="001B63A4">
        <w:rPr>
          <w:color w:val="auto"/>
        </w:rPr>
        <w:t>entais para questões relati</w:t>
      </w:r>
      <w:r w:rsidR="002A4E38" w:rsidRPr="001B63A4">
        <w:rPr>
          <w:color w:val="auto"/>
        </w:rPr>
        <w:t>vas à saúde</w:t>
      </w:r>
      <w:r w:rsidR="006512B9" w:rsidRPr="001B63A4">
        <w:rPr>
          <w:color w:val="auto"/>
        </w:rPr>
        <w:t xml:space="preserve"> </w:t>
      </w:r>
      <w:r w:rsidR="002A4E38" w:rsidRPr="001B63A4">
        <w:rPr>
          <w:color w:val="auto"/>
        </w:rPr>
        <w:t xml:space="preserve">e </w:t>
      </w:r>
      <w:r w:rsidR="006512B9" w:rsidRPr="001B63A4">
        <w:rPr>
          <w:color w:val="auto"/>
        </w:rPr>
        <w:t>educação, atingindo por consequência</w:t>
      </w:r>
      <w:r w:rsidRPr="001B63A4">
        <w:rPr>
          <w:color w:val="auto"/>
        </w:rPr>
        <w:t xml:space="preserve"> políticas públicas</w:t>
      </w:r>
      <w:r w:rsidR="006512B9" w:rsidRPr="001B63A4">
        <w:rPr>
          <w:color w:val="auto"/>
        </w:rPr>
        <w:t xml:space="preserve"> voltadas para as doenças genéticas, as quais são muitas vezes </w:t>
      </w:r>
      <w:r w:rsidRPr="001B63A4">
        <w:rPr>
          <w:color w:val="auto"/>
        </w:rPr>
        <w:t xml:space="preserve">consideradas ineficazes ou insuficientes frente à realidade enfrentada pelo país. Segundo dados do próprio Sistema de Saúde, 5% dos nascidos vivos apresentam alguma alteração congênita resultante de problemas hereditários, o que por si só já representa certa significância. Entretanto é importante ressaltar que esse panorama é traçado sem levar em conta manifestações tardias de males da mesma natureza, o que </w:t>
      </w:r>
      <w:r w:rsidR="006512B9" w:rsidRPr="001B63A4">
        <w:rPr>
          <w:color w:val="auto"/>
        </w:rPr>
        <w:t>agravaria aind</w:t>
      </w:r>
      <w:r w:rsidR="004E6A7A" w:rsidRPr="001B63A4">
        <w:rPr>
          <w:color w:val="auto"/>
        </w:rPr>
        <w:t xml:space="preserve">a mais a situação (HOROVITZ </w:t>
      </w:r>
      <w:r w:rsidR="006512B9" w:rsidRPr="001B63A4">
        <w:rPr>
          <w:color w:val="auto"/>
        </w:rPr>
        <w:t>et al</w:t>
      </w:r>
      <w:r w:rsidR="001E2D48">
        <w:rPr>
          <w:color w:val="auto"/>
        </w:rPr>
        <w:t>.</w:t>
      </w:r>
      <w:r w:rsidR="002C54E3">
        <w:rPr>
          <w:color w:val="auto"/>
        </w:rPr>
        <w:t>,</w:t>
      </w:r>
      <w:r w:rsidR="006512B9" w:rsidRPr="001B63A4">
        <w:rPr>
          <w:color w:val="auto"/>
        </w:rPr>
        <w:t xml:space="preserve"> 2006).</w:t>
      </w:r>
    </w:p>
    <w:p w:rsidR="00B42240" w:rsidRPr="001B63A4" w:rsidRDefault="008C5D84" w:rsidP="00666B25">
      <w:pPr>
        <w:pStyle w:val="texto"/>
        <w:rPr>
          <w:color w:val="auto"/>
        </w:rPr>
      </w:pPr>
      <w:r w:rsidRPr="001B63A4">
        <w:rPr>
          <w:color w:val="auto"/>
        </w:rPr>
        <w:t>As dificuldades enfrentadas na administração</w:t>
      </w:r>
      <w:r w:rsidR="00046185" w:rsidRPr="001B63A4">
        <w:rPr>
          <w:color w:val="auto"/>
        </w:rPr>
        <w:t xml:space="preserve"> das doenças genéticas são ampliadas em casos</w:t>
      </w:r>
      <w:r w:rsidR="006512B9" w:rsidRPr="001B63A4">
        <w:rPr>
          <w:color w:val="auto"/>
        </w:rPr>
        <w:t xml:space="preserve">, não raros, em que nem mesmo os </w:t>
      </w:r>
      <w:r w:rsidR="00046185" w:rsidRPr="001B63A4">
        <w:rPr>
          <w:color w:val="auto"/>
        </w:rPr>
        <w:t>médico</w:t>
      </w:r>
      <w:r w:rsidR="006512B9" w:rsidRPr="001B63A4">
        <w:rPr>
          <w:color w:val="auto"/>
        </w:rPr>
        <w:t>s das imediações estão</w:t>
      </w:r>
      <w:r w:rsidR="00046185" w:rsidRPr="001B63A4">
        <w:rPr>
          <w:color w:val="auto"/>
        </w:rPr>
        <w:t xml:space="preserve"> preparado</w:t>
      </w:r>
      <w:r w:rsidR="006512B9" w:rsidRPr="001B63A4">
        <w:rPr>
          <w:color w:val="auto"/>
        </w:rPr>
        <w:t>s</w:t>
      </w:r>
      <w:r w:rsidR="00046185" w:rsidRPr="001B63A4">
        <w:rPr>
          <w:color w:val="auto"/>
        </w:rPr>
        <w:t xml:space="preserve"> para lidar com tal cenário. Um grande exemplo é a região Sudoeste do Paraná. No local já foram diagnosticadas doenças como a Doença de Huntington, a Síndrome de Marfan, Acondroplasia, entre outras. </w:t>
      </w:r>
      <w:r w:rsidR="00B85819" w:rsidRPr="001E2D48">
        <w:rPr>
          <w:color w:val="auto"/>
        </w:rPr>
        <w:t>Além</w:t>
      </w:r>
      <w:r w:rsidR="001E2D48" w:rsidRPr="001E2D48">
        <w:rPr>
          <w:color w:val="auto"/>
        </w:rPr>
        <w:t xml:space="preserve"> </w:t>
      </w:r>
      <w:r w:rsidR="001E2D48">
        <w:rPr>
          <w:color w:val="auto"/>
        </w:rPr>
        <w:t>d</w:t>
      </w:r>
      <w:r w:rsidR="001E2D48" w:rsidRPr="001E2D48">
        <w:rPr>
          <w:color w:val="auto"/>
        </w:rPr>
        <w:t>a</w:t>
      </w:r>
      <w:r w:rsidR="001E2D48">
        <w:rPr>
          <w:color w:val="auto"/>
        </w:rPr>
        <w:t xml:space="preserve"> baixa renda, a </w:t>
      </w:r>
      <w:r w:rsidR="00B85819" w:rsidRPr="001B63A4">
        <w:rPr>
          <w:color w:val="auto"/>
        </w:rPr>
        <w:t xml:space="preserve">pouca escolaridade </w:t>
      </w:r>
      <w:r w:rsidR="00046185" w:rsidRPr="001B63A4">
        <w:rPr>
          <w:color w:val="auto"/>
        </w:rPr>
        <w:t>da maioria dos habitantes</w:t>
      </w:r>
      <w:r w:rsidR="00CB0AB4" w:rsidRPr="001B63A4">
        <w:rPr>
          <w:color w:val="auto"/>
        </w:rPr>
        <w:t xml:space="preserve">, aliadas à falta de recursos para saúde pública, torna difícil a gestão dos sintomas e consequências dessas doenças. Comumente, famílias que possuem membros </w:t>
      </w:r>
      <w:r w:rsidR="00632A0D" w:rsidRPr="001B63A4">
        <w:rPr>
          <w:color w:val="auto"/>
        </w:rPr>
        <w:t>afetados</w:t>
      </w:r>
      <w:r w:rsidR="00CB0AB4" w:rsidRPr="001B63A4">
        <w:rPr>
          <w:color w:val="auto"/>
        </w:rPr>
        <w:t xml:space="preserve">, </w:t>
      </w:r>
      <w:r w:rsidR="002C54E3" w:rsidRPr="001B63A4">
        <w:rPr>
          <w:color w:val="auto"/>
        </w:rPr>
        <w:t>têm</w:t>
      </w:r>
      <w:r w:rsidR="00CB0AB4" w:rsidRPr="001B63A4">
        <w:rPr>
          <w:color w:val="auto"/>
        </w:rPr>
        <w:t xml:space="preserve"> de se deslocar até a capital do estado, Curitiba, em busca de apoio, implicando em gastos e sofrimentos que seriam por pressuposto desnecessários, tendo em vista que o direito a atendimento </w:t>
      </w:r>
      <w:r w:rsidR="009A41B0" w:rsidRPr="001B63A4">
        <w:rPr>
          <w:color w:val="auto"/>
        </w:rPr>
        <w:t>previsto pelo Sistema Único de Saúde (SUS) estaria assegurado.</w:t>
      </w:r>
      <w:r w:rsidR="00CB0AB4" w:rsidRPr="001B63A4">
        <w:rPr>
          <w:color w:val="auto"/>
        </w:rPr>
        <w:t xml:space="preserve"> </w:t>
      </w:r>
    </w:p>
    <w:p w:rsidR="00364010" w:rsidRPr="001B63A4" w:rsidRDefault="009626C3" w:rsidP="00E616F5">
      <w:pPr>
        <w:pStyle w:val="secaoprimaria"/>
      </w:pPr>
      <w:r w:rsidRPr="001B63A4">
        <w:t>1.1 DOENÇA DE HUNTINGTON (HD)</w:t>
      </w:r>
    </w:p>
    <w:p w:rsidR="009858AE" w:rsidRPr="001B63A4" w:rsidRDefault="00364010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</w:t>
      </w:r>
      <w:r w:rsidR="009819FE" w:rsidRPr="001B63A4">
        <w:rPr>
          <w:color w:val="auto"/>
        </w:rPr>
        <w:t>A Doença de Huntington (HD) em específico, mostra-se de difícil diagnóstico e afeta indivíduos a ponto de leva-los à morte, assim reivindicando maior atenção na área do aconselhamento genético. Esta patologia se caracteriza pelo quadro neurodegenerativo enfrentado pelo paciente, que acaba levando a sintomas como a perda da coordenação motora, o declínio cognitivo e a demência progressiva. A HD foi descrita em 1872 por George Huntington, e os avanços nos estudos sobre a doença permitiram identificar seu perfil genético e bioquímico</w:t>
      </w:r>
      <w:r w:rsidR="00B85819" w:rsidRPr="001B63A4">
        <w:rPr>
          <w:color w:val="auto"/>
        </w:rPr>
        <w:t>,</w:t>
      </w:r>
      <w:r w:rsidR="009819FE" w:rsidRPr="001B63A4">
        <w:rPr>
          <w:color w:val="auto"/>
        </w:rPr>
        <w:t xml:space="preserve"> proporcionando um maior entendimento sobre sua atuação no organismo de indivíduos afetados (GIL-MOHAPEL; REGO, 2011).</w:t>
      </w:r>
    </w:p>
    <w:p w:rsidR="009819FE" w:rsidRPr="001B63A4" w:rsidRDefault="009858AE" w:rsidP="00666B25">
      <w:pPr>
        <w:pStyle w:val="texto"/>
        <w:rPr>
          <w:color w:val="auto"/>
        </w:rPr>
      </w:pPr>
      <w:r w:rsidRPr="001B63A4">
        <w:rPr>
          <w:color w:val="auto"/>
        </w:rPr>
        <w:t>Hoje se sabe que os pacientes possuem expansões na trinca CAG</w:t>
      </w:r>
      <w:r w:rsidR="00B85819" w:rsidRPr="001B63A4">
        <w:rPr>
          <w:color w:val="auto"/>
        </w:rPr>
        <w:t xml:space="preserve"> (Citosina-Adenina-Guanina)</w:t>
      </w:r>
      <w:r w:rsidRPr="001B63A4">
        <w:rPr>
          <w:color w:val="auto"/>
        </w:rPr>
        <w:t xml:space="preserve"> no gene IT15, o que provoca produção anormal da proteína Huntingtina, motivo pelo qual a degeneração do sistema nervoso acontece. A HD também </w:t>
      </w:r>
      <w:r w:rsidR="001B63A4" w:rsidRPr="001B63A4">
        <w:rPr>
          <w:color w:val="auto"/>
        </w:rPr>
        <w:t>se caracteriza</w:t>
      </w:r>
      <w:r w:rsidRPr="001B63A4">
        <w:rPr>
          <w:color w:val="auto"/>
        </w:rPr>
        <w:t xml:space="preserve"> por ser autossômica dominante com penetrância completa, </w:t>
      </w:r>
      <w:r w:rsidRPr="001B63A4">
        <w:rPr>
          <w:color w:val="auto"/>
        </w:rPr>
        <w:lastRenderedPageBreak/>
        <w:t>o que to</w:t>
      </w:r>
      <w:r w:rsidR="00B85819" w:rsidRPr="001B63A4">
        <w:rPr>
          <w:color w:val="auto"/>
        </w:rPr>
        <w:t>r</w:t>
      </w:r>
      <w:r w:rsidRPr="001B63A4">
        <w:rPr>
          <w:color w:val="auto"/>
        </w:rPr>
        <w:t>na ainda mais propício o seu alastramento por famílias portadoras do gene (GONÇALVES, 2013).</w:t>
      </w:r>
    </w:p>
    <w:p w:rsidR="009858AE" w:rsidRPr="001B63A4" w:rsidRDefault="001D044F" w:rsidP="00666B25">
      <w:pPr>
        <w:pStyle w:val="texto"/>
        <w:rPr>
          <w:color w:val="auto"/>
        </w:rPr>
      </w:pPr>
      <w:r w:rsidRPr="001B63A4">
        <w:rPr>
          <w:color w:val="auto"/>
        </w:rPr>
        <w:t>Assim, este projeto teve como objetivo propiciar um diagnóstico mais preciso e padronizado utilizando as ferramentas de Biologia Molecular, para evitar esforços dispendiosos por parte da família afetada e trazer à sociedade novas chances de acesso à saúde sem grandes dificuldades.</w:t>
      </w:r>
    </w:p>
    <w:p w:rsidR="00582606" w:rsidRPr="001B63A4" w:rsidRDefault="00582606" w:rsidP="00E616F5">
      <w:pPr>
        <w:pStyle w:val="secaoprimaria"/>
      </w:pPr>
      <w:r w:rsidRPr="001B63A4">
        <w:t>2</w:t>
      </w:r>
      <w:r w:rsidR="001D044F" w:rsidRPr="001B63A4">
        <w:t xml:space="preserve"> </w:t>
      </w:r>
      <w:r w:rsidRPr="001B63A4">
        <w:t>MÉTODOS</w:t>
      </w:r>
    </w:p>
    <w:p w:rsidR="00C666A1" w:rsidRPr="001B63A4" w:rsidRDefault="00582606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         Por envolver pesquisa com seres humanos, o projeto foi previamente submetido à avaliação do comitê de ética responsável a nível institucional (CEP- </w:t>
      </w:r>
      <w:r w:rsidR="00A751D8">
        <w:rPr>
          <w:color w:val="auto"/>
        </w:rPr>
        <w:t xml:space="preserve">Comitê de ética em </w:t>
      </w:r>
      <w:r w:rsidR="00A73C91">
        <w:rPr>
          <w:color w:val="auto"/>
        </w:rPr>
        <w:t>Pesquisa - UTFPR</w:t>
      </w:r>
      <w:r w:rsidRPr="001B63A4">
        <w:rPr>
          <w:color w:val="auto"/>
        </w:rPr>
        <w:t>) e também Comissão Nacional de Ética em Pesquisa (CONEP)</w:t>
      </w:r>
      <w:r w:rsidR="001A7357" w:rsidRPr="001B63A4">
        <w:rPr>
          <w:color w:val="auto"/>
          <w:sz w:val="24"/>
          <w:szCs w:val="24"/>
        </w:rPr>
        <w:t xml:space="preserve"> </w:t>
      </w:r>
      <w:r w:rsidR="001A7357" w:rsidRPr="001B63A4">
        <w:rPr>
          <w:color w:val="auto"/>
          <w:szCs w:val="24"/>
        </w:rPr>
        <w:t>com o protocolo de n° CAAE 48185515.7.0000. 5547</w:t>
      </w:r>
      <w:r w:rsidRPr="001B63A4">
        <w:rPr>
          <w:color w:val="auto"/>
        </w:rPr>
        <w:t>. O material utilizado foi coletado em Dois Vizinhos – PR e os procedimentos científicos que se seguiam foram realizados no Laboratório de Biologia Molecular da UTFPR.</w:t>
      </w:r>
    </w:p>
    <w:p w:rsidR="00C666A1" w:rsidRPr="001B63A4" w:rsidRDefault="00C666A1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         Os indivíduos </w:t>
      </w:r>
      <w:r w:rsidR="00E34BC7" w:rsidRPr="001B63A4">
        <w:rPr>
          <w:color w:val="auto"/>
        </w:rPr>
        <w:t xml:space="preserve">envolvidos na pesquisa </w:t>
      </w:r>
      <w:r w:rsidRPr="001B63A4">
        <w:rPr>
          <w:color w:val="auto"/>
        </w:rPr>
        <w:t>foram visitados com o intuito de verificar a viabilidade do projeto bem como para promover a elucidação de dúvidas que estes pudessem ter à cerca da Doença de Huntington.</w:t>
      </w:r>
      <w:r w:rsidR="00A73C91">
        <w:rPr>
          <w:color w:val="auto"/>
        </w:rPr>
        <w:t xml:space="preserve"> Tratavam-se de quatro pessoas (dois homens e duas mulheres), todos maiores de dezoito anos e o</w:t>
      </w:r>
      <w:r w:rsidR="004455E4">
        <w:rPr>
          <w:color w:val="auto"/>
        </w:rPr>
        <w:t xml:space="preserve">bviamente, </w:t>
      </w:r>
      <w:r w:rsidR="00A73C91">
        <w:rPr>
          <w:color w:val="auto"/>
        </w:rPr>
        <w:t>pertencentes</w:t>
      </w:r>
      <w:r w:rsidRPr="001B63A4">
        <w:rPr>
          <w:color w:val="auto"/>
        </w:rPr>
        <w:t xml:space="preserve"> à mesma família </w:t>
      </w:r>
      <w:r w:rsidR="00A73C91">
        <w:rPr>
          <w:color w:val="auto"/>
        </w:rPr>
        <w:t xml:space="preserve">com </w:t>
      </w:r>
      <w:r w:rsidRPr="001B63A4">
        <w:rPr>
          <w:color w:val="auto"/>
        </w:rPr>
        <w:t xml:space="preserve">parentesco direto com alguém que possuía a doença. É importante salientar que muitas das pessoas desta família possuem baixa escolaridade e origem humilde, o que torna especialmente trabalhoso o esclarecimento da situação e o desenrolar da problemática envolvida. </w:t>
      </w:r>
    </w:p>
    <w:p w:rsidR="002959C9" w:rsidRPr="001B63A4" w:rsidRDefault="00311269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Durante a visita aos participantes, </w:t>
      </w:r>
      <w:r w:rsidR="007628CC" w:rsidRPr="001B63A4">
        <w:rPr>
          <w:color w:val="auto"/>
        </w:rPr>
        <w:t xml:space="preserve">os </w:t>
      </w:r>
      <w:r w:rsidRPr="001B63A4">
        <w:rPr>
          <w:color w:val="auto"/>
        </w:rPr>
        <w:t xml:space="preserve">objetivos e procedimentos foram explanados de maneira simples para que houvesse entendimento por parte de todos. A partir de informações levantadas foi possível montar o heredograma da família e assim </w:t>
      </w:r>
      <w:r w:rsidR="003C50C4" w:rsidRPr="001B63A4">
        <w:rPr>
          <w:color w:val="auto"/>
        </w:rPr>
        <w:t>determinar como a doença foi transmitida ao longo das gerações</w:t>
      </w:r>
      <w:r w:rsidR="00C52571" w:rsidRPr="001B63A4">
        <w:rPr>
          <w:color w:val="auto"/>
        </w:rPr>
        <w:t>.</w:t>
      </w:r>
      <w:r w:rsidR="00C666A1" w:rsidRPr="001B63A4">
        <w:rPr>
          <w:color w:val="auto"/>
        </w:rPr>
        <w:t xml:space="preserve">           </w:t>
      </w:r>
    </w:p>
    <w:p w:rsidR="004B7703" w:rsidRPr="001B63A4" w:rsidRDefault="00C666A1" w:rsidP="00666B25">
      <w:pPr>
        <w:pStyle w:val="texto"/>
        <w:rPr>
          <w:color w:val="auto"/>
        </w:rPr>
      </w:pPr>
      <w:r w:rsidRPr="001B63A4">
        <w:rPr>
          <w:color w:val="auto"/>
        </w:rPr>
        <w:t>Ao lo</w:t>
      </w:r>
      <w:r w:rsidR="007628CC" w:rsidRPr="001B63A4">
        <w:rPr>
          <w:color w:val="auto"/>
        </w:rPr>
        <w:t xml:space="preserve">ngo do projeto também foi realizado um </w:t>
      </w:r>
      <w:r w:rsidRPr="001B63A4">
        <w:rPr>
          <w:color w:val="auto"/>
        </w:rPr>
        <w:t xml:space="preserve">trabalho </w:t>
      </w:r>
      <w:r w:rsidR="004B7703" w:rsidRPr="001B63A4">
        <w:rPr>
          <w:color w:val="auto"/>
        </w:rPr>
        <w:t xml:space="preserve">de cunho social, para que os conhecimentos dos cidadãos em geral fossem avaliados e ampliados em relação à doença, visto que é um mal pouco conhecido pela imensa maioria da população. O último passo antes da etapa prática em si, foi a autorização para pesquisa por parte dos indivíduos que doariam as amostras, sendo que esta foi explicitada a partir do </w:t>
      </w:r>
      <w:r w:rsidR="004B7703" w:rsidRPr="003B36FA">
        <w:rPr>
          <w:color w:val="auto"/>
        </w:rPr>
        <w:t>Termo de Consentimento Livre e Esclarecido</w:t>
      </w:r>
      <w:r w:rsidR="004B7703" w:rsidRPr="001B63A4">
        <w:rPr>
          <w:color w:val="auto"/>
        </w:rPr>
        <w:t xml:space="preserve">, o qual foi assinado por todos os participantes da pesquisa. </w:t>
      </w:r>
    </w:p>
    <w:p w:rsidR="004B7703" w:rsidRPr="001B63A4" w:rsidRDefault="004B7703" w:rsidP="00C52571">
      <w:pPr>
        <w:pStyle w:val="texto"/>
        <w:rPr>
          <w:color w:val="auto"/>
        </w:rPr>
      </w:pPr>
      <w:r w:rsidRPr="001B63A4">
        <w:rPr>
          <w:color w:val="auto"/>
        </w:rPr>
        <w:t>As amostras foram obtidas por saliva que foi coletada com um cotonete estéril</w:t>
      </w:r>
      <w:r w:rsidR="003807C1" w:rsidRPr="001B63A4">
        <w:rPr>
          <w:color w:val="auto"/>
        </w:rPr>
        <w:t xml:space="preserve">. Uma paciente com </w:t>
      </w:r>
      <w:r w:rsidRPr="001B63A4">
        <w:rPr>
          <w:color w:val="auto"/>
        </w:rPr>
        <w:t xml:space="preserve">um caso clinicamente avançado de HD teve seu DNA definido como um padrão positivo para a doença, para que assim fosse possível lançar um parecer sobre a situação dos demais indivíduos. </w:t>
      </w:r>
    </w:p>
    <w:p w:rsidR="00C666A1" w:rsidRPr="001B63A4" w:rsidRDefault="004B7703" w:rsidP="00666B25">
      <w:pPr>
        <w:pStyle w:val="texto"/>
        <w:rPr>
          <w:color w:val="auto"/>
          <w:sz w:val="24"/>
          <w:szCs w:val="24"/>
        </w:rPr>
      </w:pPr>
      <w:r w:rsidRPr="001B63A4">
        <w:rPr>
          <w:color w:val="auto"/>
        </w:rPr>
        <w:t xml:space="preserve">    O DNA genômico foi extraído com um kit/protocolo </w:t>
      </w:r>
      <w:r w:rsidRPr="001B63A4">
        <w:rPr>
          <w:i/>
          <w:color w:val="auto"/>
        </w:rPr>
        <w:t>Promega</w:t>
      </w:r>
      <w:r w:rsidRPr="001B63A4">
        <w:rPr>
          <w:color w:val="auto"/>
          <w:sz w:val="24"/>
          <w:szCs w:val="24"/>
        </w:rPr>
        <w:t>®</w:t>
      </w:r>
      <w:r w:rsidRPr="001B63A4">
        <w:rPr>
          <w:color w:val="auto"/>
        </w:rPr>
        <w:t xml:space="preserve"> e a quantificação de material foi feita através de uma eletroforese com gel de agarose 1%</w:t>
      </w:r>
      <w:r w:rsidR="00F11F05" w:rsidRPr="001B63A4">
        <w:rPr>
          <w:color w:val="auto"/>
        </w:rPr>
        <w:t xml:space="preserve"> e posterior visualização sob luz UV. A partir des</w:t>
      </w:r>
      <w:r w:rsidR="002849B3">
        <w:rPr>
          <w:color w:val="auto"/>
        </w:rPr>
        <w:t xml:space="preserve">se ponto foi realizada uma </w:t>
      </w:r>
      <w:r w:rsidR="00F11F05" w:rsidRPr="001B63A4">
        <w:rPr>
          <w:color w:val="auto"/>
        </w:rPr>
        <w:t>Reação em Cadeia da Polimeras</w:t>
      </w:r>
      <w:r w:rsidR="002849B3">
        <w:rPr>
          <w:color w:val="auto"/>
        </w:rPr>
        <w:t>e (PCR)</w:t>
      </w:r>
      <w:r w:rsidR="00874865">
        <w:rPr>
          <w:color w:val="auto"/>
        </w:rPr>
        <w:t xml:space="preserve"> (GRIFFITHS, 2009). Às amostras foram acrescidos</w:t>
      </w:r>
      <w:r w:rsidR="00C52571" w:rsidRPr="001B63A4">
        <w:rPr>
          <w:color w:val="auto"/>
        </w:rPr>
        <w:t xml:space="preserve"> os</w:t>
      </w:r>
      <w:r w:rsidR="00F11F05" w:rsidRPr="001B63A4">
        <w:rPr>
          <w:color w:val="auto"/>
        </w:rPr>
        <w:t xml:space="preserve"> seguintes </w:t>
      </w:r>
      <w:r w:rsidR="00F11F05" w:rsidRPr="001B63A4">
        <w:rPr>
          <w:i/>
          <w:color w:val="auto"/>
        </w:rPr>
        <w:t>primers</w:t>
      </w:r>
      <w:r w:rsidR="00F11F05" w:rsidRPr="001B63A4">
        <w:rPr>
          <w:color w:val="auto"/>
        </w:rPr>
        <w:t xml:space="preserve">: </w:t>
      </w:r>
      <w:r w:rsidR="00F11F05" w:rsidRPr="001B63A4">
        <w:rPr>
          <w:i/>
          <w:color w:val="auto"/>
        </w:rPr>
        <w:t>primer</w:t>
      </w:r>
      <w:r w:rsidR="00F11F05" w:rsidRPr="001B63A4">
        <w:rPr>
          <w:color w:val="auto"/>
        </w:rPr>
        <w:t xml:space="preserve"> n°1</w:t>
      </w:r>
      <w:r w:rsidR="006512B9" w:rsidRPr="001B63A4">
        <w:rPr>
          <w:color w:val="auto"/>
        </w:rPr>
        <w:t xml:space="preserve"> (r)</w:t>
      </w:r>
      <w:r w:rsidR="00F11F05" w:rsidRPr="001B63A4">
        <w:rPr>
          <w:color w:val="auto"/>
        </w:rPr>
        <w:t xml:space="preserve">: </w:t>
      </w:r>
      <w:r w:rsidR="00F11F05" w:rsidRPr="001B63A4">
        <w:rPr>
          <w:color w:val="auto"/>
          <w:sz w:val="24"/>
          <w:szCs w:val="24"/>
        </w:rPr>
        <w:t xml:space="preserve">5’-ATG AAG GCC TTC GAG TCC CTC AAG TCC TCC-3’ e </w:t>
      </w:r>
      <w:r w:rsidR="00F11F05" w:rsidRPr="001B63A4">
        <w:rPr>
          <w:i/>
          <w:color w:val="auto"/>
          <w:sz w:val="24"/>
          <w:szCs w:val="24"/>
        </w:rPr>
        <w:t>primer</w:t>
      </w:r>
      <w:r w:rsidR="00F11F05" w:rsidRPr="001B63A4">
        <w:rPr>
          <w:color w:val="auto"/>
          <w:sz w:val="24"/>
          <w:szCs w:val="24"/>
        </w:rPr>
        <w:t xml:space="preserve"> n°2</w:t>
      </w:r>
      <w:r w:rsidR="006512B9" w:rsidRPr="001B63A4">
        <w:rPr>
          <w:color w:val="auto"/>
          <w:sz w:val="24"/>
          <w:szCs w:val="24"/>
        </w:rPr>
        <w:t xml:space="preserve"> (f)</w:t>
      </w:r>
      <w:r w:rsidR="00F11F05" w:rsidRPr="001B63A4">
        <w:rPr>
          <w:color w:val="auto"/>
          <w:sz w:val="24"/>
          <w:szCs w:val="24"/>
        </w:rPr>
        <w:t>: 5’- CAG CAG CGG CTG TGC CTG -3’.</w:t>
      </w:r>
    </w:p>
    <w:p w:rsidR="00F11F05" w:rsidRPr="001B63A4" w:rsidRDefault="007628CC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 </w:t>
      </w:r>
      <w:r w:rsidR="002E61DA" w:rsidRPr="001B63A4">
        <w:rPr>
          <w:color w:val="auto"/>
        </w:rPr>
        <w:t xml:space="preserve">O volume total utilizado na PCR em cada microtubo foi de 50 µL, sendo que este conteúdo foi obtido através dos seguintes constituintes: 5 µL de DNA genômico, 0,5 µL de cada </w:t>
      </w:r>
      <w:r w:rsidR="002E61DA" w:rsidRPr="001B63A4">
        <w:rPr>
          <w:i/>
          <w:color w:val="auto"/>
        </w:rPr>
        <w:t xml:space="preserve">primer, </w:t>
      </w:r>
      <w:r w:rsidR="002E61DA" w:rsidRPr="001B63A4">
        <w:rPr>
          <w:color w:val="auto"/>
        </w:rPr>
        <w:t xml:space="preserve">4 µL de dNTP, 0,5 µL de Taq DNA polimerase, 1,5 </w:t>
      </w:r>
      <w:r w:rsidR="002E61DA" w:rsidRPr="001B63A4">
        <w:rPr>
          <w:color w:val="auto"/>
        </w:rPr>
        <w:lastRenderedPageBreak/>
        <w:t>µL de solução de MgCl</w:t>
      </w:r>
      <w:r w:rsidR="002E61DA" w:rsidRPr="001B63A4">
        <w:rPr>
          <w:color w:val="auto"/>
          <w:vertAlign w:val="subscript"/>
        </w:rPr>
        <w:t>2</w:t>
      </w:r>
      <w:r w:rsidR="002E61DA" w:rsidRPr="001B63A4">
        <w:rPr>
          <w:color w:val="auto"/>
        </w:rPr>
        <w:t xml:space="preserve">, 5 µL de tampão para PCR e por fim 33 µL de água miliQ. Os reagentes utilizados foram da marca </w:t>
      </w:r>
      <w:r w:rsidR="002E61DA" w:rsidRPr="001B63A4">
        <w:rPr>
          <w:i/>
          <w:color w:val="auto"/>
        </w:rPr>
        <w:t>Ludwig Biotech</w:t>
      </w:r>
      <w:r w:rsidR="00D4142A">
        <w:rPr>
          <w:color w:val="auto"/>
        </w:rPr>
        <w:t>® (CULJKOVIC, 1997).</w:t>
      </w:r>
    </w:p>
    <w:p w:rsidR="001C464B" w:rsidRPr="001B63A4" w:rsidRDefault="00244044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 Após terem sido condicionadas, as amostras foram dispostas em um termociclador Amplitherm 95x, com programação obedecendo às seguintes etapas: Desnaturação inicial a 94°C por cinco minutos, e posterior a isso, 35 ciclos de: 94°C por um minuto, 60°C por um minuto, 72°C por três minutos com uma extensão final de 72°C por 10 minutos, com repouso de 30 minutos a 20°C. Foram retiradas alíquotas de 5 µL</w:t>
      </w:r>
      <w:r w:rsidR="006E5F2E" w:rsidRPr="001B63A4">
        <w:rPr>
          <w:color w:val="auto"/>
        </w:rPr>
        <w:t xml:space="preserve"> (em duplicata)</w:t>
      </w:r>
      <w:r w:rsidRPr="001B63A4">
        <w:rPr>
          <w:color w:val="auto"/>
        </w:rPr>
        <w:t xml:space="preserve"> de cada amostra, e estas foram e</w:t>
      </w:r>
      <w:r w:rsidR="006E5F2E" w:rsidRPr="001B63A4">
        <w:rPr>
          <w:color w:val="auto"/>
        </w:rPr>
        <w:t>ntão utilizadas na eletroforese.</w:t>
      </w:r>
      <w:r w:rsidR="007628CC" w:rsidRPr="001B63A4">
        <w:rPr>
          <w:color w:val="auto"/>
        </w:rPr>
        <w:t xml:space="preserve"> </w:t>
      </w:r>
      <w:r w:rsidRPr="001B63A4">
        <w:rPr>
          <w:color w:val="auto"/>
        </w:rPr>
        <w:t xml:space="preserve">Cada amostra recebeu </w:t>
      </w:r>
      <w:r w:rsidR="001C464B" w:rsidRPr="001B63A4">
        <w:rPr>
          <w:color w:val="auto"/>
        </w:rPr>
        <w:t xml:space="preserve">1 µL de </w:t>
      </w:r>
      <w:r w:rsidR="001C464B" w:rsidRPr="001B63A4">
        <w:rPr>
          <w:i/>
          <w:color w:val="auto"/>
        </w:rPr>
        <w:t>DNA</w:t>
      </w:r>
      <w:r w:rsidR="001C464B" w:rsidRPr="001B63A4">
        <w:rPr>
          <w:color w:val="auto"/>
        </w:rPr>
        <w:t xml:space="preserve"> </w:t>
      </w:r>
      <w:r w:rsidR="001C464B" w:rsidRPr="001B63A4">
        <w:rPr>
          <w:i/>
          <w:color w:val="auto"/>
        </w:rPr>
        <w:t>loading buffe</w:t>
      </w:r>
      <w:r w:rsidR="007628CC" w:rsidRPr="001B63A4">
        <w:rPr>
          <w:i/>
          <w:color w:val="auto"/>
        </w:rPr>
        <w:t>r</w:t>
      </w:r>
      <w:r w:rsidR="001C464B" w:rsidRPr="001B63A4">
        <w:rPr>
          <w:color w:val="auto"/>
        </w:rPr>
        <w:t xml:space="preserve"> e 2 µL de GelRed®</w:t>
      </w:r>
      <w:r w:rsidR="007628CC" w:rsidRPr="001B63A4">
        <w:rPr>
          <w:color w:val="auto"/>
        </w:rPr>
        <w:t xml:space="preserve"> (corante)</w:t>
      </w:r>
      <w:r w:rsidR="001C464B" w:rsidRPr="001B63A4">
        <w:rPr>
          <w:color w:val="auto"/>
        </w:rPr>
        <w:t>. A corrida eletroforética se deu com a pipetagem desse montante em um gel de agarose 2% com uma corrente de 106 V durante 40 minutos. Posteriormente o gel foi levado até um transiluminador onde foi visualizado e fotografado.</w:t>
      </w:r>
    </w:p>
    <w:p w:rsidR="00F11F05" w:rsidRDefault="007628CC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</w:t>
      </w:r>
      <w:r w:rsidR="00143077" w:rsidRPr="001B63A4">
        <w:rPr>
          <w:color w:val="auto"/>
        </w:rPr>
        <w:t xml:space="preserve">O resultado obtido na eletroforese foi comparado com o </w:t>
      </w:r>
      <w:r w:rsidR="008D5FA7" w:rsidRPr="001B63A4">
        <w:rPr>
          <w:color w:val="auto"/>
        </w:rPr>
        <w:t>padrão (</w:t>
      </w:r>
      <w:r w:rsidR="00143077" w:rsidRPr="001B63A4">
        <w:rPr>
          <w:i/>
          <w:color w:val="auto"/>
        </w:rPr>
        <w:t>ladder</w:t>
      </w:r>
      <w:r w:rsidR="008D5FA7" w:rsidRPr="001B63A4">
        <w:rPr>
          <w:color w:val="auto"/>
        </w:rPr>
        <w:t>)</w:t>
      </w:r>
      <w:r w:rsidR="00143077" w:rsidRPr="001B63A4">
        <w:rPr>
          <w:color w:val="auto"/>
        </w:rPr>
        <w:t xml:space="preserve"> </w:t>
      </w:r>
      <w:r w:rsidR="001F55EB" w:rsidRPr="001B63A4">
        <w:rPr>
          <w:color w:val="auto"/>
        </w:rPr>
        <w:t xml:space="preserve">para que houvesse a estimativa do tamanho das bandas moleculares e seus respectivos pesos. De acordo com as informações levantadas a partir da bibliografia </w:t>
      </w:r>
      <w:r w:rsidR="00027593" w:rsidRPr="001B63A4">
        <w:rPr>
          <w:color w:val="auto"/>
        </w:rPr>
        <w:t>consideram-se</w:t>
      </w:r>
      <w:r w:rsidR="001F55EB" w:rsidRPr="001B63A4">
        <w:rPr>
          <w:color w:val="auto"/>
        </w:rPr>
        <w:t xml:space="preserve"> alelos normais </w:t>
      </w:r>
      <w:r w:rsidR="00027593" w:rsidRPr="001B63A4">
        <w:rPr>
          <w:color w:val="auto"/>
        </w:rPr>
        <w:t>àqueles</w:t>
      </w:r>
      <w:r w:rsidR="001F55EB" w:rsidRPr="001B63A4">
        <w:rPr>
          <w:color w:val="auto"/>
        </w:rPr>
        <w:t xml:space="preserve"> que possuem 11 a 34 repetições da trinca dos nucleotídeos CAG (142 até 211 pares de base). Alelos da doença HD são aqueles que apresentam de 39 a</w:t>
      </w:r>
      <w:r w:rsidR="00A91CBE" w:rsidRPr="001B63A4">
        <w:rPr>
          <w:color w:val="auto"/>
        </w:rPr>
        <w:t xml:space="preserve"> 121 repetições da trinca CAG (</w:t>
      </w:r>
      <w:r w:rsidR="001F55EB" w:rsidRPr="001B63A4">
        <w:rPr>
          <w:color w:val="auto"/>
        </w:rPr>
        <w:t xml:space="preserve">de 226 até 472 pares de bases). </w:t>
      </w:r>
    </w:p>
    <w:p w:rsidR="00AE703C" w:rsidRDefault="00AE703C" w:rsidP="00666B25">
      <w:pPr>
        <w:pStyle w:val="texto"/>
        <w:rPr>
          <w:b/>
          <w:color w:val="auto"/>
        </w:rPr>
      </w:pPr>
      <w:r w:rsidRPr="00AE703C">
        <w:rPr>
          <w:b/>
          <w:color w:val="auto"/>
        </w:rPr>
        <w:t>3 RESULTADOS</w:t>
      </w:r>
    </w:p>
    <w:p w:rsidR="00AE703C" w:rsidRPr="00AE703C" w:rsidRDefault="00AE703C" w:rsidP="00666B25">
      <w:pPr>
        <w:pStyle w:val="texto"/>
        <w:rPr>
          <w:color w:val="auto"/>
        </w:rPr>
      </w:pPr>
      <w:r>
        <w:rPr>
          <w:color w:val="auto"/>
        </w:rPr>
        <w:t>Através de conversas e entrevistas coma família, foi possível obter o heredograma, como apresentado na figura 1.</w:t>
      </w:r>
    </w:p>
    <w:p w:rsidR="00AE703C" w:rsidRDefault="00AE703C" w:rsidP="00FF446A">
      <w:pPr>
        <w:pStyle w:val="texto"/>
        <w:jc w:val="center"/>
        <w:rPr>
          <w:color w:val="auto"/>
        </w:rPr>
      </w:pPr>
    </w:p>
    <w:p w:rsidR="00B85819" w:rsidRPr="001B63A4" w:rsidRDefault="00B85819" w:rsidP="00FF446A">
      <w:pPr>
        <w:pStyle w:val="texto"/>
        <w:jc w:val="center"/>
        <w:rPr>
          <w:color w:val="auto"/>
        </w:rPr>
      </w:pPr>
      <w:r w:rsidRPr="001B63A4">
        <w:rPr>
          <w:color w:val="auto"/>
        </w:rPr>
        <w:t>Figura 1- Heredograma da família participante</w:t>
      </w:r>
      <w:r w:rsidR="00A4602A">
        <w:rPr>
          <w:color w:val="auto"/>
        </w:rPr>
        <w:t>. Nota: Probando é o indivíduo e particular interessado no aconselhamento genético. O quadro vermelho apresenta os indivíduos entrevistados.</w:t>
      </w:r>
    </w:p>
    <w:p w:rsidR="00B85819" w:rsidRPr="001B63A4" w:rsidRDefault="00B85819" w:rsidP="00B85819">
      <w:pPr>
        <w:pStyle w:val="texto"/>
        <w:rPr>
          <w:color w:val="auto"/>
        </w:rPr>
      </w:pPr>
      <w:r w:rsidRPr="00B5282C">
        <w:rPr>
          <w:noProof/>
          <w:color w:val="auto"/>
          <w:lang w:eastAsia="pt-BR"/>
        </w:rPr>
        <w:drawing>
          <wp:inline distT="0" distB="0" distL="0" distR="0" wp14:anchorId="0EE8F138" wp14:editId="197AB7DB">
            <wp:extent cx="4029073" cy="1857375"/>
            <wp:effectExtent l="0" t="0" r="0" b="0"/>
            <wp:docPr id="6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486" cy="186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9" w:rsidRPr="001B63A4" w:rsidRDefault="00B85819" w:rsidP="00B85819">
      <w:pPr>
        <w:pStyle w:val="texto"/>
        <w:rPr>
          <w:color w:val="auto"/>
        </w:rPr>
      </w:pPr>
      <w:r w:rsidRPr="00B5282C">
        <w:rPr>
          <w:noProof/>
          <w:color w:val="auto"/>
          <w:lang w:eastAsia="pt-BR"/>
        </w:rPr>
        <w:drawing>
          <wp:inline distT="0" distB="0" distL="0" distR="0" wp14:anchorId="13EBFD1D" wp14:editId="5F5A0FFC">
            <wp:extent cx="952500" cy="635242"/>
            <wp:effectExtent l="0" t="0" r="0" b="0"/>
            <wp:docPr id="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70" cy="64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9" w:rsidRPr="001B63A4" w:rsidRDefault="00B85819" w:rsidP="00465911">
      <w:pPr>
        <w:pStyle w:val="texto"/>
        <w:jc w:val="center"/>
        <w:rPr>
          <w:color w:val="auto"/>
        </w:rPr>
      </w:pPr>
      <w:r w:rsidRPr="001B63A4">
        <w:rPr>
          <w:color w:val="auto"/>
        </w:rPr>
        <w:t>Fonte: Obtida pelas informações levantadas com a família</w:t>
      </w:r>
      <w:r w:rsidR="008F2D24">
        <w:rPr>
          <w:color w:val="auto"/>
        </w:rPr>
        <w:t>.</w:t>
      </w:r>
    </w:p>
    <w:p w:rsidR="00C52571" w:rsidRPr="001B63A4" w:rsidRDefault="00C52571" w:rsidP="00C52571">
      <w:pPr>
        <w:pStyle w:val="texto"/>
        <w:rPr>
          <w:color w:val="auto"/>
        </w:rPr>
      </w:pPr>
      <w:r w:rsidRPr="001B63A4">
        <w:rPr>
          <w:color w:val="auto"/>
        </w:rPr>
        <w:t xml:space="preserve">No estudo foi possível perceber que a doença já está presente há quatro gerações, tendo um número considerável de casos em cada uma. Na I geração estão presentes os tataravôs do probando, porém ninguém soube informar qual </w:t>
      </w:r>
      <w:r w:rsidRPr="001B63A4">
        <w:rPr>
          <w:color w:val="auto"/>
        </w:rPr>
        <w:lastRenderedPageBreak/>
        <w:t xml:space="preserve">deles era portador da doença. O casal teve sete filhos, formando a geração II, sendo que dois morreram em decorrência da doença. O primeiro filho afetado da geração II casou-se com uma pessoa normal e teve quatro filhos, onde dois portavam a doença e já faleceram. O segundo filho afetado da geração II (avô do probando) teve três relacionamentos gerando 10 filhos, sendo que três eram afetados, incluindo a mãe do probando que veio a falecer. Dessa forma uma das metas dessa iniciativa foi avaliar a presença dos trechos responsáveis pela HD </w:t>
      </w:r>
      <w:r w:rsidR="00A4602A">
        <w:rPr>
          <w:color w:val="auto"/>
        </w:rPr>
        <w:t xml:space="preserve">nos </w:t>
      </w:r>
      <w:r w:rsidRPr="001B63A4">
        <w:rPr>
          <w:color w:val="auto"/>
        </w:rPr>
        <w:t>membros da IV e V geração.</w:t>
      </w:r>
      <w:r w:rsidR="00143D23" w:rsidRPr="001B63A4">
        <w:rPr>
          <w:color w:val="auto"/>
        </w:rPr>
        <w:t xml:space="preserve">  </w:t>
      </w:r>
      <w:r w:rsidR="009F70F8" w:rsidRPr="001B63A4">
        <w:rPr>
          <w:color w:val="auto"/>
        </w:rPr>
        <w:t xml:space="preserve">            </w:t>
      </w:r>
    </w:p>
    <w:p w:rsidR="009F70F8" w:rsidRPr="001B63A4" w:rsidRDefault="009F70F8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 </w:t>
      </w:r>
      <w:r w:rsidR="00FF446A">
        <w:rPr>
          <w:color w:val="auto"/>
        </w:rPr>
        <w:t>O protocolo para realizar o diagnóstico foi o de</w:t>
      </w:r>
      <w:r w:rsidR="00FF446A" w:rsidRPr="00FF446A">
        <w:rPr>
          <w:color w:val="auto"/>
        </w:rPr>
        <w:t xml:space="preserve"> </w:t>
      </w:r>
      <w:r w:rsidR="00FF446A" w:rsidRPr="001B63A4">
        <w:rPr>
          <w:color w:val="auto"/>
        </w:rPr>
        <w:t>Culjkovic e cols. (1997)</w:t>
      </w:r>
      <w:r w:rsidR="00FF446A">
        <w:rPr>
          <w:color w:val="auto"/>
        </w:rPr>
        <w:t xml:space="preserve">. </w:t>
      </w:r>
      <w:r w:rsidR="00291524" w:rsidRPr="001B63A4">
        <w:rPr>
          <w:color w:val="auto"/>
        </w:rPr>
        <w:t>Segundo</w:t>
      </w:r>
      <w:r w:rsidR="00FF446A">
        <w:rPr>
          <w:color w:val="auto"/>
        </w:rPr>
        <w:t xml:space="preserve"> este,</w:t>
      </w:r>
      <w:r w:rsidR="00291524" w:rsidRPr="001B63A4">
        <w:rPr>
          <w:color w:val="auto"/>
        </w:rPr>
        <w:t xml:space="preserve"> os produtos da PCR com tamanho entre 226 e 472 pares de bases (39 a 121 repetiç</w:t>
      </w:r>
      <w:r w:rsidR="00240157" w:rsidRPr="001B63A4">
        <w:rPr>
          <w:color w:val="auto"/>
        </w:rPr>
        <w:t>ões de CAG) são indicativos para considerar o indivíduo portador da Doença de Huntington, sendo que tamanhos moleculares menores indicam o oposto. O diagnóstico por PCR é provavelmente um dos meios mais eficientes de se confirmar a condição genética de indivíduos neste, e em outros casos de doenças relacionadas</w:t>
      </w:r>
      <w:r w:rsidR="00F95149" w:rsidRPr="001B63A4">
        <w:rPr>
          <w:color w:val="auto"/>
        </w:rPr>
        <w:t xml:space="preserve"> a mutações e sequências conhecidas. É claro, desde que haja uma amplificação correta e eficiente do trecho de DNA que se tem interesse no momento.</w:t>
      </w:r>
    </w:p>
    <w:p w:rsidR="00714B0C" w:rsidRPr="001B63A4" w:rsidRDefault="00912EA2" w:rsidP="00666B25">
      <w:pPr>
        <w:pStyle w:val="texto"/>
        <w:rPr>
          <w:color w:val="auto"/>
        </w:rPr>
      </w:pPr>
      <w:r w:rsidRPr="001B63A4">
        <w:rPr>
          <w:color w:val="auto"/>
        </w:rPr>
        <w:t>Por me</w:t>
      </w:r>
      <w:r w:rsidR="00A91CBE" w:rsidRPr="001B63A4">
        <w:rPr>
          <w:color w:val="auto"/>
        </w:rPr>
        <w:t>io de uma eletroforese, feita a partir do material que provinha da paciente definida como padrão, p</w:t>
      </w:r>
      <w:r w:rsidR="00FF446A">
        <w:rPr>
          <w:color w:val="auto"/>
        </w:rPr>
        <w:t>ô</w:t>
      </w:r>
      <w:r w:rsidR="00A91CBE" w:rsidRPr="001B63A4">
        <w:rPr>
          <w:color w:val="auto"/>
        </w:rPr>
        <w:t xml:space="preserve">de-se observar que bandas que representavam os trechos de DNA amplificados se encontravam em regiões correspondentes a 300 pares de bases do </w:t>
      </w:r>
      <w:r w:rsidR="00BF7267" w:rsidRPr="001B63A4">
        <w:rPr>
          <w:i/>
          <w:color w:val="auto"/>
        </w:rPr>
        <w:t>Ladder</w:t>
      </w:r>
      <w:r w:rsidR="00A91CBE" w:rsidRPr="001B63A4">
        <w:rPr>
          <w:color w:val="auto"/>
        </w:rPr>
        <w:t>, o que corrobora com o diagn</w:t>
      </w:r>
      <w:r w:rsidR="00714B0C" w:rsidRPr="001B63A4">
        <w:rPr>
          <w:color w:val="auto"/>
        </w:rPr>
        <w:t>óstico positivo da doença.</w:t>
      </w:r>
      <w:r w:rsidR="00FF446A">
        <w:rPr>
          <w:color w:val="auto"/>
        </w:rPr>
        <w:t xml:space="preserve"> </w:t>
      </w:r>
      <w:r w:rsidR="00714B0C" w:rsidRPr="001B63A4">
        <w:rPr>
          <w:color w:val="auto"/>
        </w:rPr>
        <w:t xml:space="preserve">Já em comparação com outros familiares, </w:t>
      </w:r>
      <w:r w:rsidR="00740A1B" w:rsidRPr="001B63A4">
        <w:rPr>
          <w:color w:val="auto"/>
        </w:rPr>
        <w:t xml:space="preserve">é improvável que estes sejam portadores da doença, pois apresentaram cerca de 100 pares de bases cada um. Entretanto, um dos indivíduos </w:t>
      </w:r>
      <w:r w:rsidR="00710408" w:rsidRPr="001B63A4">
        <w:rPr>
          <w:color w:val="auto"/>
        </w:rPr>
        <w:t xml:space="preserve">possui bandas em uma região que compreende de 100 a 200 pares de bases em relação ao </w:t>
      </w:r>
      <w:r w:rsidR="00710408" w:rsidRPr="001B63A4">
        <w:rPr>
          <w:i/>
          <w:color w:val="auto"/>
        </w:rPr>
        <w:t>Ladder</w:t>
      </w:r>
      <w:r w:rsidR="00710408" w:rsidRPr="001B63A4">
        <w:rPr>
          <w:color w:val="auto"/>
        </w:rPr>
        <w:t>, o que pode indicar o aparecimento de sintomas ao longo do tempo, porém, num grau menor do que pacientes clinicamente afetados, pois quanto maior o número de repetiç</w:t>
      </w:r>
      <w:r w:rsidR="00492068" w:rsidRPr="001B63A4">
        <w:rPr>
          <w:color w:val="auto"/>
        </w:rPr>
        <w:t xml:space="preserve">ões, </w:t>
      </w:r>
      <w:r w:rsidR="002A4E38" w:rsidRPr="001B63A4">
        <w:rPr>
          <w:color w:val="auto"/>
        </w:rPr>
        <w:t xml:space="preserve">mais </w:t>
      </w:r>
      <w:r w:rsidR="00492068" w:rsidRPr="001B63A4">
        <w:rPr>
          <w:color w:val="auto"/>
        </w:rPr>
        <w:t>severa é a condição resultante (GIL-MOHAPEL; REGO, 2011).</w:t>
      </w:r>
    </w:p>
    <w:p w:rsidR="006D4060" w:rsidRPr="00FF446A" w:rsidRDefault="006D4060" w:rsidP="00E616F5">
      <w:pPr>
        <w:pStyle w:val="secaoprimaria"/>
      </w:pPr>
      <w:r w:rsidRPr="00FF446A">
        <w:t>4 CONCLUSÃO</w:t>
      </w:r>
    </w:p>
    <w:p w:rsidR="00F95149" w:rsidRPr="001B63A4" w:rsidRDefault="00492068" w:rsidP="00666B25">
      <w:pPr>
        <w:pStyle w:val="texto"/>
        <w:rPr>
          <w:color w:val="auto"/>
        </w:rPr>
      </w:pPr>
      <w:r w:rsidRPr="001B63A4">
        <w:rPr>
          <w:color w:val="auto"/>
        </w:rPr>
        <w:t xml:space="preserve">Com a coleta de dados potencialmente úteis sobre a situação, é possível vislumbrar inovações no modelo de saúde da Região Sudoeste do Paraná, já que na atualidade serviços como diagnósticos moleculares e aconselhamento genético não são disponibilizados à população. </w:t>
      </w:r>
      <w:r w:rsidR="00CA705E" w:rsidRPr="001B63A4">
        <w:rPr>
          <w:color w:val="auto"/>
        </w:rPr>
        <w:t>Mudanças nesses aspectos são fundamentais, tendo em vista que ações coniventes raramente são postas em prática, apesar de existirem políticas de integração entre o SUS e projetos de atenção genética. A combinação da ineficiência da saúde pública com a falta de informação e o mau planejamento familiar acabam favorecendo o aparecimento de doenças genéticas na população.</w:t>
      </w:r>
    </w:p>
    <w:p w:rsidR="000B7507" w:rsidRPr="001B63A4" w:rsidRDefault="00CA705E" w:rsidP="00666B25">
      <w:pPr>
        <w:pStyle w:val="texto"/>
        <w:rPr>
          <w:color w:val="auto"/>
        </w:rPr>
      </w:pPr>
      <w:r w:rsidRPr="001B63A4">
        <w:rPr>
          <w:color w:val="auto"/>
        </w:rPr>
        <w:t>As metodologias</w:t>
      </w:r>
      <w:r w:rsidR="0044325A" w:rsidRPr="001B63A4">
        <w:rPr>
          <w:color w:val="auto"/>
        </w:rPr>
        <w:t xml:space="preserve"> modernas </w:t>
      </w:r>
      <w:r w:rsidR="006D4060" w:rsidRPr="001B63A4">
        <w:rPr>
          <w:color w:val="auto"/>
        </w:rPr>
        <w:t xml:space="preserve">permitem </w:t>
      </w:r>
      <w:r w:rsidR="0044325A" w:rsidRPr="001B63A4">
        <w:rPr>
          <w:color w:val="auto"/>
        </w:rPr>
        <w:t>além de encaminhar fam</w:t>
      </w:r>
      <w:r w:rsidR="006D4060" w:rsidRPr="001B63A4">
        <w:rPr>
          <w:color w:val="auto"/>
        </w:rPr>
        <w:t xml:space="preserve">ílias para tratamentos precoces, evitar novos casos da HD (e outras doenças) através do diagnóstico acompanhado do planejamento familiar adequado. No caso associado ao projeto, cada participante recebeu </w:t>
      </w:r>
      <w:r w:rsidR="00A711AC" w:rsidRPr="001B63A4">
        <w:rPr>
          <w:color w:val="auto"/>
        </w:rPr>
        <w:t>esclarecimentos re</w:t>
      </w:r>
      <w:r w:rsidR="000B7507" w:rsidRPr="001B63A4">
        <w:rPr>
          <w:color w:val="auto"/>
        </w:rPr>
        <w:t>ferentes aos resultados obtidos, e o indivíduo que aparentemente pode vir a apresentar os sintomas foi orientado a procurar um profissional de psicologia, bem como um laboratório especializado na área. Outros participantes também foram convidados a fazer o mesmo se assim o quiserem.</w:t>
      </w:r>
    </w:p>
    <w:p w:rsidR="00FF6F33" w:rsidRPr="001B63A4" w:rsidRDefault="000B7507" w:rsidP="00666B25">
      <w:pPr>
        <w:pStyle w:val="texto"/>
        <w:rPr>
          <w:b/>
          <w:color w:val="auto"/>
          <w:sz w:val="40"/>
          <w:szCs w:val="40"/>
        </w:rPr>
      </w:pPr>
      <w:r w:rsidRPr="001B63A4">
        <w:rPr>
          <w:color w:val="auto"/>
        </w:rPr>
        <w:lastRenderedPageBreak/>
        <w:t xml:space="preserve"> </w:t>
      </w:r>
      <w:r w:rsidR="000574E2">
        <w:rPr>
          <w:noProof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41735" wp14:editId="0C9B0BDF">
                <wp:simplePos x="0" y="0"/>
                <wp:positionH relativeFrom="page">
                  <wp:align>left</wp:align>
                </wp:positionH>
                <wp:positionV relativeFrom="paragraph">
                  <wp:posOffset>7162800</wp:posOffset>
                </wp:positionV>
                <wp:extent cx="1115060" cy="237490"/>
                <wp:effectExtent l="0" t="0" r="27940" b="10160"/>
                <wp:wrapNone/>
                <wp:docPr id="44" name="Retâ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060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7797" w:rsidRDefault="007A7797" w:rsidP="00FF6F33">
                            <w:pPr>
                              <w:jc w:val="center"/>
                            </w:pPr>
                            <w:r w:rsidRPr="00850236">
                              <w:rPr>
                                <w:color w:val="5A280A"/>
                                <w:sz w:val="14"/>
                                <w:szCs w:val="14"/>
                              </w:rPr>
                              <w:t xml:space="preserve">Página | </w:t>
                            </w:r>
                            <w:r>
                              <w:rPr>
                                <w:color w:val="5A280A"/>
                                <w:sz w:val="14"/>
                                <w:szCs w:val="14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41735" id="Retângulo 44" o:spid="_x0000_s1026" style="position:absolute;left:0;text-align:left;margin-left:0;margin-top:564pt;width:87.8pt;height:18.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" fillcolor="window" strokecolor="window" strokeweight="1pt">
                <v:path arrowok="t"/>
                <v:textbox>
                  <w:txbxContent>
                    <w:p w:rsidR="007A7797" w:rsidRDefault="007A7797" w:rsidP="00FF6F33">
                      <w:pPr>
                        <w:jc w:val="center"/>
                      </w:pPr>
                      <w:r w:rsidRPr="00850236">
                        <w:rPr>
                          <w:color w:val="5A280A"/>
                          <w:sz w:val="14"/>
                          <w:szCs w:val="14"/>
                        </w:rPr>
                        <w:t xml:space="preserve">Página | </w:t>
                      </w:r>
                      <w:r>
                        <w:rPr>
                          <w:color w:val="5A280A"/>
                          <w:sz w:val="14"/>
                          <w:szCs w:val="14"/>
                        </w:rPr>
                        <w:t>21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elacomgrade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2"/>
        <w:gridCol w:w="7376"/>
      </w:tblGrid>
      <w:tr w:rsidR="00FF6F33" w:rsidRPr="00F4432F" w:rsidTr="000B29D1">
        <w:trPr>
          <w:trHeight w:val="1964"/>
        </w:trPr>
        <w:tc>
          <w:tcPr>
            <w:tcW w:w="2268" w:type="dxa"/>
          </w:tcPr>
          <w:p w:rsidR="00FF6F33" w:rsidRPr="001B63A4" w:rsidRDefault="00FF6F33" w:rsidP="000B29D1">
            <w:pPr>
              <w:jc w:val="left"/>
              <w:rPr>
                <w:color w:val="auto"/>
              </w:rPr>
            </w:pPr>
          </w:p>
        </w:tc>
        <w:tc>
          <w:tcPr>
            <w:tcW w:w="562" w:type="dxa"/>
          </w:tcPr>
          <w:p w:rsidR="00FF6F33" w:rsidRPr="001B63A4" w:rsidRDefault="00FF6F33" w:rsidP="000B29D1">
            <w:pPr>
              <w:jc w:val="left"/>
              <w:rPr>
                <w:color w:val="auto"/>
              </w:rPr>
            </w:pPr>
          </w:p>
        </w:tc>
        <w:tc>
          <w:tcPr>
            <w:tcW w:w="7376" w:type="dxa"/>
            <w:vAlign w:val="center"/>
          </w:tcPr>
          <w:p w:rsidR="00FF6F33" w:rsidRPr="002C54E3" w:rsidRDefault="003F0CA2" w:rsidP="00B01E9A">
            <w:pPr>
              <w:pStyle w:val="tituloprincipal"/>
              <w:rPr>
                <w:lang w:val="en-US"/>
              </w:rPr>
            </w:pPr>
            <w:r w:rsidRPr="002C54E3">
              <w:rPr>
                <w:lang w:val="en-US"/>
              </w:rPr>
              <w:t xml:space="preserve">Molecular approach of the Huntington’s </w:t>
            </w:r>
            <w:r w:rsidR="00D35306" w:rsidRPr="002C54E3">
              <w:rPr>
                <w:lang w:val="en-US"/>
              </w:rPr>
              <w:t>Disease</w:t>
            </w:r>
          </w:p>
        </w:tc>
      </w:tr>
      <w:tr w:rsidR="00FF6F33" w:rsidRPr="00F4432F" w:rsidTr="000B29D1">
        <w:trPr>
          <w:trHeight w:val="7925"/>
        </w:trPr>
        <w:tc>
          <w:tcPr>
            <w:tcW w:w="2268" w:type="dxa"/>
          </w:tcPr>
          <w:p w:rsidR="00FF6F33" w:rsidRPr="002C54E3" w:rsidRDefault="00FF6F33" w:rsidP="00FF6F33">
            <w:pPr>
              <w:jc w:val="left"/>
              <w:rPr>
                <w:rFonts w:ascii="Arial" w:hAnsi="Arial" w:cs="Arial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562" w:type="dxa"/>
          </w:tcPr>
          <w:p w:rsidR="00FF6F33" w:rsidRPr="002C54E3" w:rsidRDefault="00FF6F33" w:rsidP="000B29D1">
            <w:pPr>
              <w:rPr>
                <w:color w:val="auto"/>
                <w:lang w:val="en-US"/>
              </w:rPr>
            </w:pPr>
          </w:p>
        </w:tc>
        <w:tc>
          <w:tcPr>
            <w:tcW w:w="7376" w:type="dxa"/>
          </w:tcPr>
          <w:p w:rsidR="00FF6F33" w:rsidRPr="002C54E3" w:rsidRDefault="00FF6F33" w:rsidP="004C5B64">
            <w:pPr>
              <w:pStyle w:val="secaoprimcentral"/>
              <w:rPr>
                <w:color w:val="auto"/>
                <w:lang w:val="en-US"/>
              </w:rPr>
            </w:pPr>
            <w:r w:rsidRPr="002C54E3">
              <w:rPr>
                <w:color w:val="auto"/>
                <w:lang w:val="en-US"/>
              </w:rPr>
              <w:t>ABSTRACT</w:t>
            </w:r>
          </w:p>
          <w:p w:rsidR="00364010" w:rsidRPr="001B63A4" w:rsidRDefault="00D870CC" w:rsidP="00666B25">
            <w:pPr>
              <w:pStyle w:val="resumo"/>
              <w:rPr>
                <w:lang w:val="en-US"/>
              </w:rPr>
            </w:pPr>
            <w:r w:rsidRPr="003A34D1">
              <w:rPr>
                <w:rStyle w:val="resumoanteposto"/>
                <w:b w:val="0"/>
                <w:lang w:val="en-US"/>
              </w:rPr>
              <w:t>This researsch provided</w:t>
            </w:r>
            <w:r w:rsidRPr="003A34D1">
              <w:rPr>
                <w:rStyle w:val="resumoanteposto"/>
                <w:lang w:val="en-US"/>
              </w:rPr>
              <w:t xml:space="preserve"> </w:t>
            </w:r>
            <w:r w:rsidR="007433EB">
              <w:rPr>
                <w:lang w:val="en-US"/>
              </w:rPr>
              <w:t>diag</w:t>
            </w:r>
            <w:r w:rsidR="00D35306">
              <w:rPr>
                <w:lang w:val="en-US"/>
              </w:rPr>
              <w:t>nosis alternatives and theoric</w:t>
            </w:r>
            <w:r w:rsidR="00192EFF">
              <w:rPr>
                <w:lang w:val="en-US"/>
              </w:rPr>
              <w:t>al</w:t>
            </w:r>
            <w:r w:rsidR="007433EB">
              <w:rPr>
                <w:lang w:val="en-US"/>
              </w:rPr>
              <w:t xml:space="preserve"> background for genetic counseling involving the </w:t>
            </w:r>
            <w:r w:rsidR="00192EFF">
              <w:rPr>
                <w:lang w:val="en-US"/>
              </w:rPr>
              <w:t>Huntington’s</w:t>
            </w:r>
            <w:r w:rsidR="007433EB">
              <w:rPr>
                <w:lang w:val="en-US"/>
              </w:rPr>
              <w:t xml:space="preserve"> </w:t>
            </w:r>
            <w:r w:rsidR="00D35306">
              <w:rPr>
                <w:lang w:val="en-US"/>
              </w:rPr>
              <w:t>Disease</w:t>
            </w:r>
            <w:r w:rsidR="007433EB">
              <w:rPr>
                <w:lang w:val="en-US"/>
              </w:rPr>
              <w:t xml:space="preserve">, whereas this is a dominant autosomal, mortal illness </w:t>
            </w:r>
            <w:r w:rsidR="004B78CD">
              <w:rPr>
                <w:lang w:val="en-US"/>
              </w:rPr>
              <w:t>with no efficient treatment available in the public health system</w:t>
            </w:r>
            <w:r w:rsidR="00364010" w:rsidRPr="001B63A4">
              <w:rPr>
                <w:lang w:val="en-US"/>
              </w:rPr>
              <w:t>.</w:t>
            </w:r>
            <w:r w:rsidR="004B78CD">
              <w:rPr>
                <w:rStyle w:val="resumoanteposto"/>
                <w:b w:val="0"/>
                <w:color w:val="auto"/>
                <w:lang w:val="en-US"/>
              </w:rPr>
              <w:t xml:space="preserve">The samples were taken from volunteers </w:t>
            </w:r>
            <w:r w:rsidR="002C54E3">
              <w:rPr>
                <w:rStyle w:val="resumoanteposto"/>
                <w:b w:val="0"/>
                <w:color w:val="auto"/>
                <w:lang w:val="en-US"/>
              </w:rPr>
              <w:t>who</w:t>
            </w:r>
            <w:r w:rsidR="004B78CD">
              <w:rPr>
                <w:rStyle w:val="resumoanteposto"/>
                <w:b w:val="0"/>
                <w:color w:val="auto"/>
                <w:lang w:val="en-US"/>
              </w:rPr>
              <w:t xml:space="preserve"> belong to a family with historical occurrence of the </w:t>
            </w:r>
            <w:r w:rsidR="002C54E3">
              <w:rPr>
                <w:rStyle w:val="resumoanteposto"/>
                <w:b w:val="0"/>
                <w:color w:val="auto"/>
                <w:lang w:val="en-US"/>
              </w:rPr>
              <w:t>disease</w:t>
            </w:r>
            <w:r w:rsidR="004B78CD">
              <w:rPr>
                <w:rStyle w:val="resumoanteposto"/>
                <w:b w:val="0"/>
                <w:color w:val="auto"/>
                <w:lang w:val="en-US"/>
              </w:rPr>
              <w:t>. The laboratory phases involved PCR with appropriated primers and electrophoresis</w:t>
            </w:r>
            <w:r w:rsidR="00364010" w:rsidRPr="001B63A4">
              <w:rPr>
                <w:lang w:val="en-US"/>
              </w:rPr>
              <w:t>.</w:t>
            </w:r>
            <w:r w:rsidR="004B78CD">
              <w:rPr>
                <w:lang w:val="en-US"/>
              </w:rPr>
              <w:t xml:space="preserve"> The DNA of an affected individual was used as a standard to evaluate the situation of the others comparing their respective number of bases pairs. Besides it,</w:t>
            </w:r>
            <w:r w:rsidR="00A43974">
              <w:rPr>
                <w:lang w:val="en-US"/>
              </w:rPr>
              <w:t xml:space="preserve"> a service with educational characteristics was made to elucidate questions about the </w:t>
            </w:r>
            <w:r w:rsidR="002C54E3">
              <w:rPr>
                <w:lang w:val="en-US"/>
              </w:rPr>
              <w:t>disease</w:t>
            </w:r>
            <w:r w:rsidR="00A43974">
              <w:rPr>
                <w:lang w:val="en-US"/>
              </w:rPr>
              <w:t xml:space="preserve">. </w:t>
            </w:r>
            <w:r w:rsidRPr="003A34D1">
              <w:rPr>
                <w:rStyle w:val="resumoanteposto"/>
                <w:b w:val="0"/>
                <w:lang w:val="en-US"/>
              </w:rPr>
              <w:t>At the end of the metodology</w:t>
            </w:r>
            <w:r w:rsidRPr="003A34D1">
              <w:rPr>
                <w:rStyle w:val="resumoanteposto"/>
                <w:lang w:val="en-US"/>
              </w:rPr>
              <w:t xml:space="preserve"> , </w:t>
            </w:r>
            <w:r>
              <w:rPr>
                <w:lang w:val="en-US"/>
              </w:rPr>
              <w:t>t</w:t>
            </w:r>
            <w:r w:rsidR="00A43974">
              <w:rPr>
                <w:lang w:val="en-US"/>
              </w:rPr>
              <w:t>he electrophoresis indicated particular standards between the individuals that were related to their number of bases pairs, and consequently to the expression of the symptoms</w:t>
            </w:r>
            <w:r w:rsidR="00364010" w:rsidRPr="001B63A4">
              <w:rPr>
                <w:lang w:val="en-US"/>
              </w:rPr>
              <w:t xml:space="preserve">. </w:t>
            </w:r>
            <w:r w:rsidR="00EA5127">
              <w:rPr>
                <w:lang w:val="en-US"/>
              </w:rPr>
              <w:t>It was possible to conclude that</w:t>
            </w:r>
            <w:r w:rsidR="00957349">
              <w:rPr>
                <w:lang w:val="en-US"/>
              </w:rPr>
              <w:t xml:space="preserve"> Molecular Biology techniques have shown themselves as great </w:t>
            </w:r>
            <w:r w:rsidR="002C54E3">
              <w:rPr>
                <w:lang w:val="en-US"/>
              </w:rPr>
              <w:t>allied</w:t>
            </w:r>
            <w:r w:rsidR="00957349">
              <w:rPr>
                <w:lang w:val="en-US"/>
              </w:rPr>
              <w:t xml:space="preserve"> for the HD diagnosis, as well as new chances for innovations and attention from public health services in areas like genetics and ills related to it.</w:t>
            </w:r>
          </w:p>
          <w:p w:rsidR="00364010" w:rsidRPr="001B63A4" w:rsidRDefault="00364010" w:rsidP="00666B25">
            <w:pPr>
              <w:pStyle w:val="resumo"/>
              <w:rPr>
                <w:lang w:val="en-US"/>
              </w:rPr>
            </w:pPr>
            <w:r w:rsidRPr="001B63A4">
              <w:rPr>
                <w:rStyle w:val="palavras-chave"/>
                <w:color w:val="auto"/>
                <w:lang w:val="en-US"/>
              </w:rPr>
              <w:t>KEYWORDS:</w:t>
            </w:r>
            <w:r w:rsidRPr="001B63A4">
              <w:rPr>
                <w:lang w:val="en-US"/>
              </w:rPr>
              <w:t xml:space="preserve"> </w:t>
            </w:r>
            <w:r w:rsidR="000B0506">
              <w:rPr>
                <w:rStyle w:val="hps"/>
                <w:lang w:val="en-US"/>
              </w:rPr>
              <w:t>Huntingtin</w:t>
            </w:r>
            <w:r w:rsidRPr="001B63A4">
              <w:rPr>
                <w:lang w:val="en-US"/>
              </w:rPr>
              <w:t xml:space="preserve">. </w:t>
            </w:r>
            <w:r w:rsidR="000B0506">
              <w:rPr>
                <w:rStyle w:val="hps"/>
                <w:lang w:val="en-US"/>
              </w:rPr>
              <w:t>Molecular diagnosis</w:t>
            </w:r>
            <w:r w:rsidRPr="001B63A4">
              <w:rPr>
                <w:lang w:val="en-US"/>
              </w:rPr>
              <w:t xml:space="preserve">. </w:t>
            </w:r>
            <w:r w:rsidR="000B0506" w:rsidRPr="002C54E3">
              <w:rPr>
                <w:rStyle w:val="hps"/>
                <w:lang w:val="en-US"/>
              </w:rPr>
              <w:t xml:space="preserve">Genetic </w:t>
            </w:r>
            <w:r w:rsidR="002C54E3" w:rsidRPr="002C54E3">
              <w:rPr>
                <w:rStyle w:val="hps"/>
                <w:lang w:val="en-US"/>
              </w:rPr>
              <w:t>counseling</w:t>
            </w:r>
            <w:r w:rsidRPr="002C54E3">
              <w:rPr>
                <w:lang w:val="en-US"/>
              </w:rPr>
              <w:t>.</w:t>
            </w:r>
          </w:p>
          <w:p w:rsidR="00FF6F33" w:rsidRPr="002C54E3" w:rsidRDefault="00FF6F33" w:rsidP="00666B25">
            <w:pPr>
              <w:pStyle w:val="resumo"/>
              <w:rPr>
                <w:lang w:val="en-US"/>
              </w:rPr>
            </w:pPr>
          </w:p>
        </w:tc>
      </w:tr>
    </w:tbl>
    <w:p w:rsidR="00FF6F33" w:rsidRPr="002C54E3" w:rsidRDefault="00FF6F33" w:rsidP="00FF6F33">
      <w:pPr>
        <w:ind w:left="2835"/>
        <w:rPr>
          <w:color w:val="auto"/>
          <w:sz w:val="20"/>
          <w:szCs w:val="20"/>
          <w:lang w:val="en-US"/>
        </w:rPr>
      </w:pPr>
    </w:p>
    <w:p w:rsidR="00FF6F33" w:rsidRPr="002C54E3" w:rsidRDefault="00FF6F33" w:rsidP="00FF6F33">
      <w:pPr>
        <w:rPr>
          <w:color w:val="auto"/>
          <w:sz w:val="20"/>
          <w:szCs w:val="20"/>
          <w:lang w:val="en-US"/>
        </w:rPr>
      </w:pPr>
    </w:p>
    <w:p w:rsidR="00FF6F33" w:rsidRPr="002C54E3" w:rsidRDefault="00FF6F33" w:rsidP="00FF6F33">
      <w:pPr>
        <w:ind w:left="2835"/>
        <w:rPr>
          <w:color w:val="auto"/>
          <w:lang w:val="en-US"/>
        </w:rPr>
      </w:pPr>
    </w:p>
    <w:p w:rsidR="00FF6F33" w:rsidRPr="002C54E3" w:rsidRDefault="00FF6F33" w:rsidP="00FF6F33">
      <w:pPr>
        <w:ind w:left="2835"/>
        <w:rPr>
          <w:color w:val="auto"/>
          <w:lang w:val="en-US"/>
        </w:rPr>
      </w:pPr>
    </w:p>
    <w:p w:rsidR="00FF6F33" w:rsidRPr="002C54E3" w:rsidRDefault="00FF6F33" w:rsidP="00FF6F33">
      <w:pPr>
        <w:ind w:left="2835"/>
        <w:rPr>
          <w:color w:val="auto"/>
          <w:lang w:val="en-US"/>
        </w:rPr>
      </w:pPr>
    </w:p>
    <w:p w:rsidR="00FF6F33" w:rsidRPr="002C54E3" w:rsidRDefault="00FF6F33" w:rsidP="00FF6F33">
      <w:pPr>
        <w:ind w:left="2835"/>
        <w:rPr>
          <w:color w:val="auto"/>
          <w:lang w:val="en-US"/>
        </w:rPr>
      </w:pPr>
    </w:p>
    <w:p w:rsidR="00FF6F33" w:rsidRPr="002C54E3" w:rsidRDefault="000574E2" w:rsidP="00FF6F33">
      <w:pPr>
        <w:spacing w:after="160" w:line="259" w:lineRule="auto"/>
        <w:jc w:val="left"/>
        <w:rPr>
          <w:b/>
          <w:color w:val="auto"/>
          <w:lang w:val="en-US"/>
        </w:rPr>
      </w:pPr>
      <w:r>
        <w:rPr>
          <w:noProof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325A8" wp14:editId="666867FC">
                <wp:simplePos x="0" y="0"/>
                <wp:positionH relativeFrom="page">
                  <wp:align>left</wp:align>
                </wp:positionH>
                <wp:positionV relativeFrom="paragraph">
                  <wp:posOffset>2980690</wp:posOffset>
                </wp:positionV>
                <wp:extent cx="1115060" cy="237490"/>
                <wp:effectExtent l="0" t="0" r="27940" b="10160"/>
                <wp:wrapNone/>
                <wp:docPr id="45" name="Retâ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060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7797" w:rsidRDefault="007A7797" w:rsidP="00FF6F33">
                            <w:pPr>
                              <w:jc w:val="center"/>
                            </w:pPr>
                            <w:r w:rsidRPr="00850236">
                              <w:rPr>
                                <w:color w:val="5A280A"/>
                                <w:sz w:val="14"/>
                                <w:szCs w:val="14"/>
                              </w:rPr>
                              <w:t xml:space="preserve">Página | </w:t>
                            </w:r>
                            <w:r>
                              <w:rPr>
                                <w:color w:val="5A280A"/>
                                <w:sz w:val="14"/>
                                <w:szCs w:val="14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325A8" id="Retângulo 45" o:spid="_x0000_s1027" style="position:absolute;margin-left:0;margin-top:234.7pt;width:87.8pt;height:18.7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" fillcolor="window" strokecolor="window" strokeweight="1pt">
                <v:path arrowok="t"/>
                <v:textbox>
                  <w:txbxContent>
                    <w:p w:rsidR="007A7797" w:rsidRDefault="007A7797" w:rsidP="00FF6F33">
                      <w:pPr>
                        <w:jc w:val="center"/>
                      </w:pPr>
                      <w:r w:rsidRPr="00850236">
                        <w:rPr>
                          <w:color w:val="5A280A"/>
                          <w:sz w:val="14"/>
                          <w:szCs w:val="14"/>
                        </w:rPr>
                        <w:t xml:space="preserve">Página | </w:t>
                      </w:r>
                      <w:r>
                        <w:rPr>
                          <w:color w:val="5A280A"/>
                          <w:sz w:val="14"/>
                          <w:szCs w:val="14"/>
                        </w:rPr>
                        <w:t>22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F6F33" w:rsidRPr="002C54E3">
        <w:rPr>
          <w:color w:val="auto"/>
          <w:lang w:val="en-US"/>
        </w:rPr>
        <w:br w:type="page"/>
      </w:r>
    </w:p>
    <w:p w:rsidR="00364010" w:rsidRPr="001B63A4" w:rsidRDefault="00364010" w:rsidP="00364010">
      <w:pPr>
        <w:pStyle w:val="tituloselementospostextuais"/>
        <w:rPr>
          <w:color w:val="auto"/>
        </w:rPr>
      </w:pPr>
      <w:r w:rsidRPr="001B63A4">
        <w:rPr>
          <w:color w:val="auto"/>
        </w:rPr>
        <w:lastRenderedPageBreak/>
        <w:t>AGRADECIMENTOS</w:t>
      </w:r>
    </w:p>
    <w:p w:rsidR="00364010" w:rsidRPr="001B63A4" w:rsidRDefault="00534A82" w:rsidP="00666B25">
      <w:pPr>
        <w:pStyle w:val="texto"/>
        <w:rPr>
          <w:color w:val="auto"/>
        </w:rPr>
      </w:pPr>
      <w:r w:rsidRPr="001B63A4">
        <w:rPr>
          <w:color w:val="auto"/>
        </w:rPr>
        <w:t>À UTFPR pela concessão da bolsa referente a</w:t>
      </w:r>
      <w:r w:rsidR="002539B2" w:rsidRPr="001B63A4">
        <w:rPr>
          <w:color w:val="auto"/>
        </w:rPr>
        <w:t>o projeto.</w:t>
      </w:r>
    </w:p>
    <w:p w:rsidR="002228A7" w:rsidRPr="001B63A4" w:rsidRDefault="002228A7" w:rsidP="004C5B64">
      <w:pPr>
        <w:pStyle w:val="titulosanexos"/>
        <w:rPr>
          <w:color w:val="auto"/>
          <w:lang w:val="en-US"/>
        </w:rPr>
      </w:pPr>
      <w:r w:rsidRPr="001B63A4">
        <w:rPr>
          <w:color w:val="auto"/>
          <w:lang w:val="en-US"/>
        </w:rPr>
        <w:t>REFERÊNCIAS</w:t>
      </w:r>
    </w:p>
    <w:p w:rsidR="00E6193D" w:rsidRPr="00F4432F" w:rsidRDefault="00964A45" w:rsidP="00940566">
      <w:pPr>
        <w:pStyle w:val="referencias"/>
        <w:rPr>
          <w:lang w:val="pt-BR"/>
        </w:rPr>
      </w:pPr>
      <w:r w:rsidRPr="001B63A4">
        <w:t>CULJKOVIĆ</w:t>
      </w:r>
      <w:r>
        <w:t>, B.</w:t>
      </w:r>
      <w:r w:rsidR="00A278D6">
        <w:t>;</w:t>
      </w:r>
      <w:r w:rsidR="00A278D6" w:rsidRPr="00A278D6">
        <w:t xml:space="preserve"> </w:t>
      </w:r>
      <w:r w:rsidR="005476A4" w:rsidRPr="00A278D6">
        <w:t>RUŽDIJIĆA</w:t>
      </w:r>
      <w:r w:rsidR="00A278D6">
        <w:t>, S.;</w:t>
      </w:r>
      <w:r w:rsidR="00A278D6" w:rsidRPr="00A278D6">
        <w:t xml:space="preserve"> RAKIĆ</w:t>
      </w:r>
      <w:r w:rsidR="00A278D6">
        <w:t xml:space="preserve">, L.; </w:t>
      </w:r>
      <w:r w:rsidR="00A278D6" w:rsidRPr="00A278D6">
        <w:t>ROMAC</w:t>
      </w:r>
      <w:r>
        <w:t>,</w:t>
      </w:r>
      <w:r w:rsidR="00244391">
        <w:t xml:space="preserve"> S.</w:t>
      </w:r>
      <w:r w:rsidR="003B22AC" w:rsidRPr="001B63A4">
        <w:t xml:space="preserve">Improved polymerase chain reaction conditions for quick diagnostics of Huntington disease. </w:t>
      </w:r>
      <w:r w:rsidR="003B22AC" w:rsidRPr="00ED4F43">
        <w:rPr>
          <w:b/>
          <w:bCs/>
          <w:lang w:val="pt-BR"/>
        </w:rPr>
        <w:t>Brain Research Protocol</w:t>
      </w:r>
      <w:r w:rsidR="00E6193D" w:rsidRPr="00ED4F43">
        <w:rPr>
          <w:lang w:val="pt-BR"/>
        </w:rPr>
        <w:t>, v. 2, p.44–46, 1997</w:t>
      </w:r>
      <w:r w:rsidR="000365B7" w:rsidRPr="00ED4F43">
        <w:rPr>
          <w:lang w:val="pt-BR"/>
        </w:rPr>
        <w:t xml:space="preserve">. </w:t>
      </w:r>
    </w:p>
    <w:p w:rsidR="00534A82" w:rsidRPr="003A34D1" w:rsidRDefault="00244391" w:rsidP="00940566">
      <w:pPr>
        <w:pStyle w:val="referencias"/>
        <w:rPr>
          <w:sz w:val="24"/>
          <w:lang w:val="pt-BR"/>
        </w:rPr>
      </w:pPr>
      <w:r w:rsidRPr="003A34D1">
        <w:rPr>
          <w:lang w:val="pt-BR"/>
        </w:rPr>
        <w:t>GIL-MOHAPEL , M. J; REGO, A. C.</w:t>
      </w:r>
      <w:r w:rsidR="00534A82" w:rsidRPr="003A34D1">
        <w:rPr>
          <w:lang w:val="pt-BR"/>
        </w:rPr>
        <w:t>DOENÇA DE HUNTINGTON: UMA REVISÃO DOS ASPECTOS FISIOPATOLÓGICOS. São Paulo: Escola Paulista de Medicina, v. 4, 2011. Trimestral. Disponível em:&lt; http://www.revistaneurociencias.com.br/edicoes/2011/RN1904/revisao 19 04/595 revisao.pdf&gt;. Acesso em: 26 ago. 2017.</w:t>
      </w:r>
    </w:p>
    <w:p w:rsidR="00534A82" w:rsidRPr="003A34D1" w:rsidRDefault="00534A82" w:rsidP="00940566">
      <w:pPr>
        <w:pStyle w:val="referencias"/>
        <w:rPr>
          <w:shd w:val="clear" w:color="auto" w:fill="FFFFFF"/>
          <w:lang w:val="pt-BR"/>
        </w:rPr>
      </w:pPr>
      <w:r w:rsidRPr="003A34D1">
        <w:rPr>
          <w:lang w:val="pt-BR"/>
        </w:rPr>
        <w:t xml:space="preserve"> </w:t>
      </w:r>
      <w:r w:rsidRPr="003A34D1">
        <w:rPr>
          <w:shd w:val="clear" w:color="auto" w:fill="FFFFFF"/>
          <w:lang w:val="pt-BR"/>
        </w:rPr>
        <w:t>GONÇALVES, N</w:t>
      </w:r>
      <w:r w:rsidR="00A278D6" w:rsidRPr="003A34D1">
        <w:rPr>
          <w:shd w:val="clear" w:color="auto" w:fill="FFFFFF"/>
          <w:lang w:val="pt-BR"/>
        </w:rPr>
        <w:t>.</w:t>
      </w:r>
      <w:r w:rsidRPr="003A34D1">
        <w:rPr>
          <w:shd w:val="clear" w:color="auto" w:fill="FFFFFF"/>
          <w:lang w:val="pt-BR"/>
        </w:rPr>
        <w:t xml:space="preserve"> F</w:t>
      </w:r>
      <w:r w:rsidR="00696AAF" w:rsidRPr="003A34D1">
        <w:rPr>
          <w:shd w:val="clear" w:color="auto" w:fill="FFFFFF"/>
          <w:lang w:val="pt-BR"/>
        </w:rPr>
        <w:t>.C</w:t>
      </w:r>
      <w:r w:rsidRPr="003A34D1">
        <w:rPr>
          <w:shd w:val="clear" w:color="auto" w:fill="FFFFFF"/>
          <w:lang w:val="pt-BR"/>
        </w:rPr>
        <w:t>. </w:t>
      </w:r>
      <w:r w:rsidRPr="001B63A4">
        <w:rPr>
          <w:rStyle w:val="Forte"/>
          <w:shd w:val="clear" w:color="auto" w:fill="FFFFFF"/>
          <w:lang w:val="pt-BR"/>
        </w:rPr>
        <w:t>Doença de Huntington: Uma revisão. </w:t>
      </w:r>
      <w:r w:rsidRPr="003A34D1">
        <w:rPr>
          <w:shd w:val="clear" w:color="auto" w:fill="FFFFFF"/>
          <w:lang w:val="pt-BR"/>
        </w:rPr>
        <w:t>2013. 77 f. Dissertação (Mestrado) - Curso de Medicina, Universidade da Beira Interior, Covilhã, 2013. Disponível em: &lt;file:///C:/Users/cpu/Downloads/a21264_5019pdf.pdf&gt;. Acesso em: 26 ago. 2017.</w:t>
      </w:r>
    </w:p>
    <w:p w:rsidR="00940566" w:rsidRPr="00940566" w:rsidRDefault="00940566" w:rsidP="00940566">
      <w:pPr>
        <w:pStyle w:val="referencias"/>
        <w:rPr>
          <w:shd w:val="clear" w:color="auto" w:fill="FFFFFF"/>
          <w:lang w:val="pt-BR"/>
        </w:rPr>
      </w:pPr>
      <w:r w:rsidRPr="003A34D1">
        <w:rPr>
          <w:lang w:val="pt-BR"/>
        </w:rPr>
        <w:t>GRIFFITHS, Anthony. Introdução à Genética. 9. ed. Rio de Janeiro: Guanabara-Koogan, 2009</w:t>
      </w:r>
    </w:p>
    <w:p w:rsidR="00534A82" w:rsidRPr="00F4432F" w:rsidRDefault="00696AAF" w:rsidP="00940566">
      <w:pPr>
        <w:pStyle w:val="referencias"/>
        <w:rPr>
          <w:shd w:val="clear" w:color="auto" w:fill="FFFFFF"/>
          <w:lang w:val="pt-BR"/>
        </w:rPr>
      </w:pPr>
      <w:r w:rsidRPr="003A34D1">
        <w:rPr>
          <w:shd w:val="clear" w:color="auto" w:fill="FFFFFF"/>
          <w:lang w:val="pt-BR"/>
        </w:rPr>
        <w:t>GROSSI, R.</w:t>
      </w:r>
      <w:r w:rsidR="00534A82" w:rsidRPr="003A34D1">
        <w:rPr>
          <w:shd w:val="clear" w:color="auto" w:fill="FFFFFF"/>
          <w:lang w:val="pt-BR"/>
        </w:rPr>
        <w:t xml:space="preserve"> et al. SERVIÇOS DE ACONSELHAMENTO GENÉTICO: UM PANORAMA NACIONAL. In: CONGRESSO BRASILEIRO MULTIDISCIPLINAR DE EDUCAÇÃO ESPECIAL, 5, 2009, Londrina. </w:t>
      </w:r>
      <w:r w:rsidR="00534A82" w:rsidRPr="003A34D1">
        <w:rPr>
          <w:b/>
          <w:bCs/>
          <w:shd w:val="clear" w:color="auto" w:fill="FFFFFF"/>
          <w:lang w:val="pt-BR"/>
        </w:rPr>
        <w:t>Anais... . </w:t>
      </w:r>
      <w:r w:rsidR="00244391" w:rsidRPr="003A34D1">
        <w:rPr>
          <w:shd w:val="clear" w:color="auto" w:fill="FFFFFF"/>
          <w:lang w:val="pt-BR"/>
        </w:rPr>
        <w:t>Londrina: UEL,</w:t>
      </w:r>
      <w:r w:rsidR="00534A82" w:rsidRPr="003A34D1">
        <w:rPr>
          <w:shd w:val="clear" w:color="auto" w:fill="FFFFFF"/>
          <w:lang w:val="pt-BR"/>
        </w:rPr>
        <w:t xml:space="preserve"> 2009. p. 2736 - 2743. Disponível em: &lt;http://www.uel.br/eventos/congressomultidisciplinar/pages/arquivos/anais/2009/327.pdf&gt;. </w:t>
      </w:r>
      <w:r w:rsidR="00534A82" w:rsidRPr="00F4432F">
        <w:rPr>
          <w:shd w:val="clear" w:color="auto" w:fill="FFFFFF"/>
          <w:lang w:val="pt-BR"/>
        </w:rPr>
        <w:t>Acesso em: 26 ago. 2017.</w:t>
      </w:r>
    </w:p>
    <w:p w:rsidR="00534A82" w:rsidRPr="003A34D1" w:rsidRDefault="00534A82" w:rsidP="00940566">
      <w:pPr>
        <w:pStyle w:val="referencias"/>
        <w:rPr>
          <w:shd w:val="clear" w:color="auto" w:fill="FFFFFF"/>
          <w:lang w:val="pt-BR"/>
        </w:rPr>
      </w:pPr>
      <w:r w:rsidRPr="00F4432F">
        <w:rPr>
          <w:b/>
          <w:bCs/>
          <w:shd w:val="clear" w:color="auto" w:fill="FFFFFF"/>
          <w:lang w:val="pt-BR"/>
        </w:rPr>
        <w:t> </w:t>
      </w:r>
      <w:r w:rsidRPr="00F4432F">
        <w:rPr>
          <w:shd w:val="clear" w:color="auto" w:fill="FFFFFF"/>
          <w:lang w:val="pt-BR"/>
        </w:rPr>
        <w:t>HOROVITZ, D</w:t>
      </w:r>
      <w:r w:rsidR="00696AAF" w:rsidRPr="00F4432F">
        <w:rPr>
          <w:shd w:val="clear" w:color="auto" w:fill="FFFFFF"/>
          <w:lang w:val="pt-BR"/>
        </w:rPr>
        <w:t>.</w:t>
      </w:r>
      <w:r w:rsidRPr="00F4432F">
        <w:rPr>
          <w:shd w:val="clear" w:color="auto" w:fill="FFFFFF"/>
          <w:lang w:val="pt-BR"/>
        </w:rPr>
        <w:t xml:space="preserve"> D</w:t>
      </w:r>
      <w:r w:rsidR="00696AAF" w:rsidRPr="00F4432F">
        <w:rPr>
          <w:shd w:val="clear" w:color="auto" w:fill="FFFFFF"/>
          <w:lang w:val="pt-BR"/>
        </w:rPr>
        <w:t>.</w:t>
      </w:r>
      <w:r w:rsidRPr="00F4432F">
        <w:rPr>
          <w:shd w:val="clear" w:color="auto" w:fill="FFFFFF"/>
          <w:lang w:val="pt-BR"/>
        </w:rPr>
        <w:t xml:space="preserve"> G</w:t>
      </w:r>
      <w:r w:rsidR="00696AAF" w:rsidRPr="00F4432F">
        <w:rPr>
          <w:shd w:val="clear" w:color="auto" w:fill="FFFFFF"/>
          <w:lang w:val="pt-BR"/>
        </w:rPr>
        <w:t>.</w:t>
      </w:r>
      <w:r w:rsidRPr="00F4432F">
        <w:rPr>
          <w:shd w:val="clear" w:color="auto" w:fill="FFFFFF"/>
          <w:lang w:val="pt-BR"/>
        </w:rPr>
        <w:t xml:space="preserve"> et al. </w:t>
      </w:r>
      <w:r w:rsidRPr="003A34D1">
        <w:rPr>
          <w:shd w:val="clear" w:color="auto" w:fill="FFFFFF"/>
          <w:lang w:val="pt-BR"/>
        </w:rPr>
        <w:t>Atenção aos defeitos congênitos no Brasil: características do atendimento e propostas para formulação de políticas públicas em genética clínica. </w:t>
      </w:r>
      <w:r w:rsidRPr="003A34D1">
        <w:rPr>
          <w:b/>
          <w:bCs/>
          <w:shd w:val="clear" w:color="auto" w:fill="FFFFFF"/>
          <w:lang w:val="pt-BR"/>
        </w:rPr>
        <w:t>Cadernos de Saúde Pública,</w:t>
      </w:r>
      <w:r w:rsidRPr="003A34D1">
        <w:rPr>
          <w:shd w:val="clear" w:color="auto" w:fill="FFFFFF"/>
          <w:lang w:val="pt-BR"/>
        </w:rPr>
        <w:t xml:space="preserve"> v. 22, n. 12, p.2599-2609, dez. 2006. FapUNIFESP (SciELO). http://dx.doi.org/10.1590/s0102-311x2006001200010.</w:t>
      </w:r>
    </w:p>
    <w:p w:rsidR="00534A82" w:rsidRPr="003A34D1" w:rsidRDefault="00534A82" w:rsidP="00940566">
      <w:pPr>
        <w:pStyle w:val="referencias"/>
        <w:rPr>
          <w:lang w:val="pt-BR"/>
        </w:rPr>
      </w:pPr>
    </w:p>
    <w:p w:rsidR="00534A82" w:rsidRPr="003A34D1" w:rsidRDefault="00534A82" w:rsidP="00940566">
      <w:pPr>
        <w:pStyle w:val="referencias"/>
        <w:rPr>
          <w:lang w:val="pt-BR"/>
        </w:rPr>
      </w:pPr>
    </w:p>
    <w:p w:rsidR="00364010" w:rsidRPr="003A34D1" w:rsidRDefault="00364010" w:rsidP="00940566">
      <w:pPr>
        <w:pStyle w:val="referencias"/>
        <w:rPr>
          <w:lang w:val="pt-BR"/>
        </w:rPr>
      </w:pPr>
    </w:p>
    <w:p w:rsidR="004C5B64" w:rsidRPr="003A34D1" w:rsidRDefault="004C5B64" w:rsidP="00940566">
      <w:pPr>
        <w:pStyle w:val="referencias"/>
        <w:rPr>
          <w:lang w:val="pt-BR"/>
        </w:rPr>
      </w:pPr>
    </w:p>
    <w:p w:rsidR="004C5B64" w:rsidRPr="003A34D1" w:rsidRDefault="004C5B64" w:rsidP="00940566">
      <w:pPr>
        <w:pStyle w:val="referencias"/>
        <w:rPr>
          <w:lang w:val="pt-BR"/>
        </w:rPr>
      </w:pPr>
    </w:p>
    <w:p w:rsidR="00364010" w:rsidRPr="003A34D1" w:rsidRDefault="00364010" w:rsidP="00940566">
      <w:pPr>
        <w:pStyle w:val="referencias"/>
        <w:rPr>
          <w:lang w:val="pt-BR"/>
        </w:rPr>
      </w:pPr>
    </w:p>
    <w:p w:rsidR="00364010" w:rsidRPr="003A34D1" w:rsidRDefault="00364010" w:rsidP="00940566">
      <w:pPr>
        <w:pStyle w:val="referencias"/>
        <w:rPr>
          <w:lang w:val="pt-BR"/>
        </w:rPr>
      </w:pPr>
    </w:p>
    <w:p w:rsidR="00364010" w:rsidRPr="003A34D1" w:rsidRDefault="00364010" w:rsidP="00940566">
      <w:pPr>
        <w:pStyle w:val="referencias"/>
        <w:rPr>
          <w:lang w:val="pt-BR"/>
        </w:rPr>
      </w:pPr>
    </w:p>
    <w:p w:rsidR="00364010" w:rsidRPr="003A34D1" w:rsidRDefault="00364010" w:rsidP="00940566">
      <w:pPr>
        <w:pStyle w:val="referencias"/>
        <w:rPr>
          <w:lang w:val="pt-BR"/>
        </w:rPr>
      </w:pPr>
    </w:p>
    <w:tbl>
      <w:tblPr>
        <w:tblStyle w:val="Tabelacomgrade1"/>
        <w:tblW w:w="7371" w:type="dxa"/>
        <w:tblInd w:w="2845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7371"/>
      </w:tblGrid>
      <w:tr w:rsidR="00FF6F33" w:rsidRPr="001B63A4" w:rsidTr="004C5B64">
        <w:trPr>
          <w:trHeight w:val="1124"/>
        </w:trPr>
        <w:tc>
          <w:tcPr>
            <w:tcW w:w="7371" w:type="dxa"/>
            <w:vAlign w:val="center"/>
          </w:tcPr>
          <w:p w:rsidR="00FF6F33" w:rsidRPr="001B63A4" w:rsidRDefault="00FF6F33" w:rsidP="001D7972">
            <w:pPr>
              <w:pStyle w:val="creditos"/>
              <w:rPr>
                <w:color w:val="auto"/>
              </w:rPr>
            </w:pPr>
            <w:r w:rsidRPr="001B63A4">
              <w:rPr>
                <w:rStyle w:val="creditosantepostoChar"/>
                <w:color w:val="auto"/>
              </w:rPr>
              <w:t>Recebido:</w:t>
            </w:r>
            <w:r w:rsidRPr="001B63A4">
              <w:rPr>
                <w:color w:val="auto"/>
              </w:rPr>
              <w:t xml:space="preserve"> </w:t>
            </w:r>
            <w:r w:rsidR="00D35306">
              <w:rPr>
                <w:color w:val="auto"/>
              </w:rPr>
              <w:t>01 set. 2017</w:t>
            </w:r>
            <w:r w:rsidRPr="001B63A4">
              <w:rPr>
                <w:color w:val="auto"/>
              </w:rPr>
              <w:t>.</w:t>
            </w:r>
          </w:p>
          <w:p w:rsidR="00FF6F33" w:rsidRPr="001B63A4" w:rsidRDefault="00FF6F33" w:rsidP="001D7972">
            <w:pPr>
              <w:pStyle w:val="creditos"/>
              <w:rPr>
                <w:color w:val="auto"/>
              </w:rPr>
            </w:pPr>
            <w:r w:rsidRPr="001B63A4">
              <w:rPr>
                <w:rStyle w:val="creditosantepostoChar"/>
                <w:color w:val="auto"/>
              </w:rPr>
              <w:t>Aprovado:</w:t>
            </w:r>
            <w:r w:rsidRPr="001B63A4">
              <w:rPr>
                <w:color w:val="auto"/>
              </w:rPr>
              <w:t>.</w:t>
            </w:r>
            <w:r w:rsidR="003A34D1">
              <w:rPr>
                <w:color w:val="auto"/>
              </w:rPr>
              <w:t>16 out. 2017</w:t>
            </w:r>
          </w:p>
          <w:p w:rsidR="00FF6F33" w:rsidRPr="001B63A4" w:rsidRDefault="00FF6F33" w:rsidP="0066058B">
            <w:pPr>
              <w:pStyle w:val="creditosanteposto"/>
              <w:rPr>
                <w:color w:val="auto"/>
              </w:rPr>
            </w:pPr>
            <w:r w:rsidRPr="001B63A4">
              <w:rPr>
                <w:color w:val="auto"/>
              </w:rPr>
              <w:t xml:space="preserve">Como citar: </w:t>
            </w:r>
          </w:p>
          <w:p w:rsidR="00FF6F33" w:rsidRPr="001B63A4" w:rsidRDefault="00E84365" w:rsidP="00E602DA">
            <w:pPr>
              <w:pStyle w:val="creditos"/>
              <w:rPr>
                <w:color w:val="auto"/>
              </w:rPr>
            </w:pPr>
            <w:r>
              <w:rPr>
                <w:color w:val="auto"/>
              </w:rPr>
              <w:t>CLAUDINO</w:t>
            </w:r>
            <w:r w:rsidR="00FF6F33" w:rsidRPr="001B63A4">
              <w:rPr>
                <w:color w:val="auto"/>
              </w:rPr>
              <w:t xml:space="preserve">, </w:t>
            </w:r>
            <w:r>
              <w:rPr>
                <w:color w:val="auto"/>
              </w:rPr>
              <w:t>P. H</w:t>
            </w:r>
            <w:r w:rsidR="00364010" w:rsidRPr="001B63A4">
              <w:rPr>
                <w:color w:val="auto"/>
              </w:rPr>
              <w:t xml:space="preserve">. </w:t>
            </w:r>
            <w:r w:rsidR="00FF6F33" w:rsidRPr="001B63A4">
              <w:rPr>
                <w:color w:val="auto"/>
              </w:rPr>
              <w:t xml:space="preserve">et al. </w:t>
            </w:r>
            <w:r>
              <w:rPr>
                <w:color w:val="auto"/>
              </w:rPr>
              <w:t>Abordagem molecular da Doença de Huntington</w:t>
            </w:r>
            <w:r w:rsidR="00364010" w:rsidRPr="001B63A4">
              <w:rPr>
                <w:color w:val="auto"/>
              </w:rPr>
              <w:t xml:space="preserve">. In: SEMINÁRIO DE EXTENSÃO E INOVAÇÃO DA UTFPR, 7., 2017, Londrina. </w:t>
            </w:r>
            <w:r w:rsidR="00364010" w:rsidRPr="001B63A4">
              <w:rPr>
                <w:b/>
                <w:color w:val="auto"/>
              </w:rPr>
              <w:t>Anais</w:t>
            </w:r>
            <w:r w:rsidR="00504962" w:rsidRPr="001B63A4">
              <w:rPr>
                <w:b/>
                <w:color w:val="auto"/>
              </w:rPr>
              <w:t xml:space="preserve"> eletrônicos</w:t>
            </w:r>
            <w:r w:rsidR="00F4432F">
              <w:rPr>
                <w:b/>
                <w:color w:val="auto"/>
              </w:rPr>
              <w:t xml:space="preserve"> </w:t>
            </w:r>
            <w:bookmarkStart w:id="0" w:name="_GoBack"/>
            <w:r w:rsidR="00F4432F">
              <w:rPr>
                <w:b/>
                <w:color w:val="auto"/>
              </w:rPr>
              <w:t>7º SEI</w:t>
            </w:r>
            <w:bookmarkEnd w:id="0"/>
            <w:r w:rsidR="00364010" w:rsidRPr="001B63A4">
              <w:rPr>
                <w:b/>
                <w:color w:val="auto"/>
              </w:rPr>
              <w:t>.</w:t>
            </w:r>
            <w:r w:rsidR="00364010" w:rsidRPr="001B63A4">
              <w:rPr>
                <w:color w:val="auto"/>
              </w:rPr>
              <w:t xml:space="preserve"> Londrina: UTFPR, 2017. </w:t>
            </w:r>
            <w:r w:rsidR="00FF6F33" w:rsidRPr="001B63A4">
              <w:rPr>
                <w:color w:val="auto"/>
              </w:rPr>
              <w:t>Disponível em: &lt;</w:t>
            </w:r>
            <w:hyperlink r:id="rId11" w:history="1">
              <w:r w:rsidR="00364010" w:rsidRPr="001B63A4">
                <w:rPr>
                  <w:rStyle w:val="Hyperlink0"/>
                  <w:color w:val="auto"/>
                </w:rPr>
                <w:t>https://eventos.utfpr.edu.br/ //sei/sei2017/</w:t>
              </w:r>
              <w:r w:rsidR="00FA4233">
                <w:rPr>
                  <w:rStyle w:val="Hyperlink0"/>
                  <w:color w:val="auto"/>
                </w:rPr>
                <w:t>1484</w:t>
              </w:r>
            </w:hyperlink>
            <w:r w:rsidR="00FF6F33" w:rsidRPr="001B63A4">
              <w:rPr>
                <w:color w:val="auto"/>
              </w:rPr>
              <w:t xml:space="preserve">&gt;. Acesso em: </w:t>
            </w:r>
            <w:r w:rsidR="003A34D1">
              <w:rPr>
                <w:color w:val="auto"/>
              </w:rPr>
              <w:t>16/10/2017</w:t>
            </w:r>
            <w:r w:rsidR="00FF6F33" w:rsidRPr="001B63A4">
              <w:rPr>
                <w:color w:val="auto"/>
              </w:rPr>
              <w:t>.</w:t>
            </w:r>
          </w:p>
          <w:p w:rsidR="00FF6F33" w:rsidRPr="001B63A4" w:rsidRDefault="00FF6F33" w:rsidP="0066058B">
            <w:pPr>
              <w:pStyle w:val="creditosanteposto"/>
              <w:rPr>
                <w:color w:val="auto"/>
              </w:rPr>
            </w:pPr>
            <w:r w:rsidRPr="001B63A4">
              <w:rPr>
                <w:color w:val="auto"/>
              </w:rPr>
              <w:t xml:space="preserve">Correspondência: </w:t>
            </w:r>
          </w:p>
          <w:p w:rsidR="00FF6F33" w:rsidRPr="001B63A4" w:rsidRDefault="00E84365" w:rsidP="003E4D4D">
            <w:pPr>
              <w:pStyle w:val="creditos"/>
              <w:rPr>
                <w:color w:val="auto"/>
              </w:rPr>
            </w:pPr>
            <w:r>
              <w:rPr>
                <w:color w:val="auto"/>
              </w:rPr>
              <w:t>Paulo Henrique Claudino</w:t>
            </w:r>
          </w:p>
          <w:p w:rsidR="00FF6F33" w:rsidRPr="001B63A4" w:rsidRDefault="00FF6F33" w:rsidP="003E4D4D">
            <w:pPr>
              <w:pStyle w:val="creditos"/>
              <w:rPr>
                <w:color w:val="auto"/>
              </w:rPr>
            </w:pPr>
            <w:r w:rsidRPr="001B63A4">
              <w:rPr>
                <w:color w:val="auto"/>
                <w:lang w:val="pt-PT"/>
              </w:rPr>
              <w:t xml:space="preserve">Rua </w:t>
            </w:r>
            <w:r w:rsidR="00E84365">
              <w:rPr>
                <w:color w:val="auto"/>
                <w:lang w:val="pt-PT"/>
              </w:rPr>
              <w:t>João Dalpasquale, número 105, Centro Norte, Dois Vizinhos, Paraná, Brasil</w:t>
            </w:r>
            <w:r w:rsidR="00364010" w:rsidRPr="001B63A4">
              <w:rPr>
                <w:color w:val="auto"/>
                <w:lang w:val="pt-PT"/>
              </w:rPr>
              <w:t>.</w:t>
            </w:r>
          </w:p>
          <w:p w:rsidR="00FF6F33" w:rsidRPr="001B63A4" w:rsidRDefault="00FF6F33" w:rsidP="0066058B">
            <w:pPr>
              <w:pStyle w:val="creditosanteposto"/>
              <w:rPr>
                <w:color w:val="auto"/>
              </w:rPr>
            </w:pPr>
            <w:r w:rsidRPr="001B63A4">
              <w:rPr>
                <w:color w:val="auto"/>
              </w:rPr>
              <w:t xml:space="preserve">Direito autoral: </w:t>
            </w:r>
          </w:p>
          <w:p w:rsidR="00FF6F33" w:rsidRPr="001B63A4" w:rsidRDefault="00FF6F33" w:rsidP="004C5B64">
            <w:pPr>
              <w:pStyle w:val="creditos"/>
              <w:rPr>
                <w:color w:val="auto"/>
              </w:rPr>
            </w:pPr>
            <w:r w:rsidRPr="001B63A4">
              <w:rPr>
                <w:color w:val="auto"/>
              </w:rPr>
              <w:t>Este artigo está licenciado sob os termos da Licença Creative Common</w:t>
            </w:r>
            <w:r w:rsidR="004C5B64" w:rsidRPr="001B63A4">
              <w:rPr>
                <w:color w:val="auto"/>
              </w:rPr>
              <w:t>s-Atribuição</w:t>
            </w:r>
            <w:r w:rsidR="00504962" w:rsidRPr="001B63A4">
              <w:rPr>
                <w:color w:val="auto"/>
              </w:rPr>
              <w:t>-NãoComercial</w:t>
            </w:r>
            <w:r w:rsidR="004C5B64" w:rsidRPr="001B63A4">
              <w:rPr>
                <w:color w:val="auto"/>
              </w:rPr>
              <w:t xml:space="preserve"> 4.0 Internacional.</w:t>
            </w:r>
          </w:p>
          <w:p w:rsidR="004C5B64" w:rsidRPr="001B63A4" w:rsidRDefault="004C5B64" w:rsidP="004C5B64">
            <w:pPr>
              <w:pStyle w:val="creditosanteposto"/>
              <w:rPr>
                <w:color w:val="auto"/>
              </w:rPr>
            </w:pPr>
          </w:p>
          <w:p w:rsidR="00FF6F33" w:rsidRPr="001B63A4" w:rsidRDefault="00504962" w:rsidP="00FF6F33">
            <w:pPr>
              <w:spacing w:line="276" w:lineRule="auto"/>
              <w:jc w:val="left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B63A4">
              <w:rPr>
                <w:noProof/>
                <w:color w:val="auto"/>
                <w:lang w:eastAsia="pt-BR"/>
              </w:rPr>
              <w:drawing>
                <wp:inline distT="0" distB="0" distL="0" distR="0" wp14:anchorId="4E6A131A" wp14:editId="566B9D24">
                  <wp:extent cx="593767" cy="210837"/>
                  <wp:effectExtent l="0" t="0" r="0" b="0"/>
                  <wp:docPr id="1" name="Imagem 1" descr="Licença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cença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82" cy="22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BE4" w:rsidRPr="001B63A4" w:rsidRDefault="00137BE4" w:rsidP="00666B25">
      <w:pPr>
        <w:pStyle w:val="texto"/>
        <w:rPr>
          <w:color w:val="auto"/>
        </w:rPr>
      </w:pPr>
    </w:p>
    <w:sectPr w:rsidR="00137BE4" w:rsidRPr="001B63A4" w:rsidSect="007D115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48" w:right="1134" w:bottom="1293" w:left="62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0C" w:rsidRDefault="00BE540C" w:rsidP="00500465">
      <w:r>
        <w:separator/>
      </w:r>
    </w:p>
  </w:endnote>
  <w:endnote w:type="continuationSeparator" w:id="0">
    <w:p w:rsidR="00BE540C" w:rsidRDefault="00BE540C" w:rsidP="0050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0574E2">
    <w:pPr>
      <w:pStyle w:val="Rodap"/>
      <w:rPr>
        <w:rFonts w:ascii="Arial" w:hAnsi="Arial" w:cs="Arial"/>
        <w:sz w:val="12"/>
        <w:szCs w:val="1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-20320</wp:posOffset>
              </wp:positionV>
              <wp:extent cx="6435090" cy="17145"/>
              <wp:effectExtent l="0" t="0" r="22860" b="20955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35090" cy="1714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53DD0A" id="Conector reto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6pt" to="506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" strokecolor="#ffc000 [3207]" strokeweight="1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left</wp:align>
              </wp:positionH>
              <wp:positionV relativeFrom="margin">
                <wp:posOffset>8432800</wp:posOffset>
              </wp:positionV>
              <wp:extent cx="760730" cy="219075"/>
              <wp:effectExtent l="0" t="0" r="1270" b="9525"/>
              <wp:wrapNone/>
              <wp:docPr id="52" name="Retângulo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73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97" w:rsidRPr="00922181" w:rsidRDefault="007A7797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color w:val="FFC000"/>
                              <w:sz w:val="14"/>
                              <w:szCs w:val="14"/>
                            </w:rPr>
                          </w:pP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t xml:space="preserve">Página | </w: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F4432F">
                            <w:rPr>
                              <w:noProof/>
                              <w:color w:val="FFC000"/>
                              <w:sz w:val="14"/>
                              <w:szCs w:val="14"/>
                            </w:rPr>
                            <w:t>8</w: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52" o:spid="_x0000_s1028" style="position:absolute;left:0;text-align:left;margin-left:0;margin-top:664pt;width:59.9pt;height:17.2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" o:allowincell="f" stroked="f">
              <v:textbox style="mso-fit-shape-to-text:t" inset="0,,0">
                <w:txbxContent>
                  <w:p w:rsidR="007A7797" w:rsidRPr="00922181" w:rsidRDefault="007A7797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  <w:rPr>
                        <w:color w:val="FFC000"/>
                        <w:sz w:val="14"/>
                        <w:szCs w:val="14"/>
                      </w:rPr>
                    </w:pPr>
                    <w:r w:rsidRPr="00922181">
                      <w:rPr>
                        <w:color w:val="FFC000"/>
                        <w:sz w:val="14"/>
                        <w:szCs w:val="14"/>
                      </w:rPr>
                      <w:t xml:space="preserve">Página | </w:t>
                    </w:r>
                    <w:r w:rsidR="0083323D" w:rsidRPr="00922181">
                      <w:rPr>
                        <w:color w:val="FFC000"/>
                        <w:sz w:val="14"/>
                        <w:szCs w:val="14"/>
                      </w:rPr>
                      <w:fldChar w:fldCharType="begin"/>
                    </w:r>
                    <w:r w:rsidRPr="00922181">
                      <w:rPr>
                        <w:color w:val="FFC000"/>
                        <w:sz w:val="14"/>
                        <w:szCs w:val="14"/>
                      </w:rPr>
                      <w:instrText>PAGE   \* MERGEFORMAT</w:instrText>
                    </w:r>
                    <w:r w:rsidR="0083323D" w:rsidRPr="00922181">
                      <w:rPr>
                        <w:color w:val="FFC000"/>
                        <w:sz w:val="14"/>
                        <w:szCs w:val="14"/>
                      </w:rPr>
                      <w:fldChar w:fldCharType="separate"/>
                    </w:r>
                    <w:r w:rsidR="00F4432F">
                      <w:rPr>
                        <w:noProof/>
                        <w:color w:val="FFC000"/>
                        <w:sz w:val="14"/>
                        <w:szCs w:val="14"/>
                      </w:rPr>
                      <w:t>8</w:t>
                    </w:r>
                    <w:r w:rsidR="0083323D" w:rsidRPr="00922181">
                      <w:rPr>
                        <w:color w:val="FFC00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:rsidR="007A7797" w:rsidRPr="007D115C" w:rsidRDefault="007D115C">
    <w:pPr>
      <w:pStyle w:val="Rodap"/>
      <w:rPr>
        <w:rFonts w:ascii="Arial" w:hAnsi="Arial" w:cs="Arial"/>
        <w:color w:val="575757"/>
        <w:sz w:val="14"/>
        <w:szCs w:val="14"/>
      </w:rPr>
    </w:pPr>
    <w:r w:rsidRPr="007D115C">
      <w:rPr>
        <w:rFonts w:ascii="Arial" w:hAnsi="Arial" w:cs="Arial"/>
        <w:sz w:val="14"/>
        <w:szCs w:val="14"/>
      </w:rPr>
      <w:t>SEMINÁRIO DE EXTENSÃO E INOVAÇÃO, 7., 2017, Londrina, PR.</w:t>
    </w: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</w:rPr>
    </w:pPr>
  </w:p>
  <w:p w:rsidR="007A7797" w:rsidRPr="0025446C" w:rsidRDefault="007A7797">
    <w:pPr>
      <w:pStyle w:val="Rodap"/>
      <w:rPr>
        <w:rFonts w:ascii="Arial" w:hAnsi="Arial" w:cs="Arial"/>
        <w:color w:val="575757"/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5069"/>
      <w:gridCol w:w="5699"/>
    </w:tblGrid>
    <w:tr w:rsidR="007A7797" w:rsidTr="00251889">
      <w:tc>
        <w:tcPr>
          <w:tcW w:w="5069" w:type="dxa"/>
        </w:tcPr>
        <w:p w:rsidR="00922181" w:rsidRDefault="000574E2" w:rsidP="00FF6F33">
          <w:pPr>
            <w:pStyle w:val="legendabibliografica"/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-1905</wp:posOffset>
                    </wp:positionV>
                    <wp:extent cx="6417945" cy="17145"/>
                    <wp:effectExtent l="0" t="0" r="20955" b="20955"/>
                    <wp:wrapNone/>
                    <wp:docPr id="10" name="Conector ret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417945" cy="17145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3B5CA4F" id="Conector reto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" from="454.15pt,-.15pt" to="959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" strokecolor="#ffc000 [3207]" strokeweight="1.5pt">
                    <v:stroke joinstyle="miter"/>
                    <o:lock v:ext="edit" shapetype="f"/>
                    <w10:wrap anchorx="margin"/>
                  </v:line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margin">
                      <wp:posOffset>7616190</wp:posOffset>
                    </wp:positionV>
                    <wp:extent cx="767715" cy="219075"/>
                    <wp:effectExtent l="0" t="0" r="0" b="9525"/>
                    <wp:wrapNone/>
                    <wp:docPr id="49" name="Retângulo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71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7797" w:rsidRPr="00922181" w:rsidRDefault="007A7797">
                                <w:pPr>
                                  <w:pBdr>
                                    <w:top w:val="single" w:sz="4" w:space="1" w:color="D8D8D8" w:themeColor="background1" w:themeShade="D8"/>
                                  </w:pBdr>
                                  <w:jc w:val="right"/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</w:pP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t xml:space="preserve">Página | </w:t>
                                </w:r>
                                <w:r w:rsidR="0083323D"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="0083323D"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F4432F">
                                  <w:rPr>
                                    <w:noProof/>
                                    <w:color w:val="FFC000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 w:rsidR="0083323D"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lef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tângulo 49" o:spid="_x0000_s1029" style="position:absolute;margin-left:0;margin-top:599.7pt;width:60.45pt;height:17.25pt;z-index: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" o:allowincell="f" stroked="f">
                    <v:textbox style="mso-fit-shape-to-text:t" inset="0,,0">
                      <w:txbxContent>
                        <w:p w:rsidR="007A7797" w:rsidRPr="00922181" w:rsidRDefault="007A7797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color w:val="FFC000"/>
                              <w:sz w:val="14"/>
                              <w:szCs w:val="14"/>
                            </w:rPr>
                          </w:pP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t xml:space="preserve">Página | </w: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F4432F">
                            <w:rPr>
                              <w:noProof/>
                              <w:color w:val="FFC000"/>
                              <w:sz w:val="14"/>
                              <w:szCs w:val="14"/>
                            </w:rPr>
                            <w:t>1</w:t>
                          </w:r>
                          <w:r w:rsidR="0083323D"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</w:p>
        <w:p w:rsidR="007A7797" w:rsidRPr="00157931" w:rsidRDefault="007D115C" w:rsidP="00FF6F33">
          <w:pPr>
            <w:pStyle w:val="legendabibliografica"/>
          </w:pPr>
          <w:r>
            <w:t>SEMINÁRIO DE EXTENSÃO E INOVAÇÃO, 7., 2017, Londrina, PR</w:t>
          </w:r>
          <w:r w:rsidR="007A7797" w:rsidRPr="00157931">
            <w:t>.</w:t>
          </w:r>
        </w:p>
      </w:tc>
      <w:tc>
        <w:tcPr>
          <w:tcW w:w="5699" w:type="dxa"/>
        </w:tcPr>
        <w:p w:rsidR="007A7797" w:rsidRDefault="007A7797" w:rsidP="00622B44">
          <w:pPr>
            <w:pStyle w:val="Rodap"/>
            <w:jc w:val="right"/>
            <w:rPr>
              <w:rFonts w:ascii="Arial" w:hAnsi="Arial" w:cs="Arial"/>
              <w:color w:val="575757"/>
              <w:sz w:val="14"/>
              <w:szCs w:val="14"/>
            </w:rPr>
          </w:pPr>
        </w:p>
      </w:tc>
    </w:tr>
    <w:tr w:rsidR="007D115C" w:rsidTr="00251889">
      <w:tc>
        <w:tcPr>
          <w:tcW w:w="5069" w:type="dxa"/>
        </w:tcPr>
        <w:p w:rsidR="007D115C" w:rsidRPr="00157931" w:rsidRDefault="007D115C" w:rsidP="00FF6F33">
          <w:pPr>
            <w:pStyle w:val="legendabibliografica"/>
          </w:pPr>
        </w:p>
      </w:tc>
      <w:tc>
        <w:tcPr>
          <w:tcW w:w="5699" w:type="dxa"/>
        </w:tcPr>
        <w:p w:rsidR="007D115C" w:rsidRDefault="007D115C" w:rsidP="00622B44">
          <w:pPr>
            <w:pStyle w:val="Rodap"/>
            <w:jc w:val="right"/>
            <w:rPr>
              <w:rFonts w:ascii="Arial" w:hAnsi="Arial" w:cs="Arial"/>
              <w:color w:val="575757"/>
              <w:sz w:val="14"/>
              <w:szCs w:val="14"/>
            </w:rPr>
          </w:pPr>
        </w:p>
      </w:tc>
    </w:tr>
  </w:tbl>
  <w:p w:rsidR="007A7797" w:rsidRDefault="007A7797">
    <w:pPr>
      <w:pStyle w:val="Rodap"/>
    </w:pPr>
  </w:p>
  <w:p w:rsidR="007A7797" w:rsidRDefault="007A7797">
    <w:pPr>
      <w:pStyle w:val="Rodap"/>
    </w:pPr>
  </w:p>
  <w:p w:rsidR="007A7797" w:rsidRDefault="007A77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0C" w:rsidRDefault="00BE540C" w:rsidP="00500465">
      <w:r>
        <w:separator/>
      </w:r>
    </w:p>
  </w:footnote>
  <w:footnote w:type="continuationSeparator" w:id="0">
    <w:p w:rsidR="00BE540C" w:rsidRDefault="00BE540C" w:rsidP="0050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0574E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1035050</wp:posOffset>
              </wp:positionV>
              <wp:extent cx="6461125" cy="8890"/>
              <wp:effectExtent l="0" t="0" r="15875" b="2921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61125" cy="8890"/>
                      </a:xfrm>
                      <a:prstGeom prst="line">
                        <a:avLst/>
                      </a:prstGeom>
                      <a:ln w="19050"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66EA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81.5pt" to="507.4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" strokecolor="#ffc000" strokeweight="1.5pt">
              <v:stroke joinstyle="miter"/>
              <o:lock v:ext="edit" shapetype="f"/>
            </v:line>
          </w:pict>
        </mc:Fallback>
      </mc:AlternateContent>
    </w:r>
    <w:r w:rsidR="00CA11C0" w:rsidRPr="00CA11C0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CA11C0" w:rsidRPr="00CA11C0">
      <w:rPr>
        <w:noProof/>
        <w:lang w:eastAsia="pt-BR"/>
      </w:rPr>
      <w:drawing>
        <wp:inline distT="0" distB="0" distL="0" distR="0">
          <wp:extent cx="1121027" cy="965607"/>
          <wp:effectExtent l="0" t="0" r="3175" b="6350"/>
          <wp:docPr id="5" name="Imagem 5" descr="C:\Users\Editora\AppData\Local\Temp\LogoSEI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ditora\AppData\Local\Temp\LogoSEI-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94"/>
                  <a:stretch/>
                </pic:blipFill>
                <pic:spPr bwMode="auto">
                  <a:xfrm>
                    <a:off x="0" y="0"/>
                    <a:ext cx="1121397" cy="9659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7A7797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34275" cy="1180465"/>
          <wp:effectExtent l="0" t="0" r="9525" b="635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180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9B0FE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BE1FB2"/>
    <w:multiLevelType w:val="hybridMultilevel"/>
    <w:tmpl w:val="4620B506"/>
    <w:lvl w:ilvl="0" w:tplc="46A80578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abstractNum w:abstractNumId="2" w15:restartNumberingAfterBreak="0">
    <w:nsid w:val="425745E6"/>
    <w:multiLevelType w:val="hybridMultilevel"/>
    <w:tmpl w:val="5596F7D6"/>
    <w:lvl w:ilvl="0" w:tplc="8698F4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4C1FA4"/>
    <w:multiLevelType w:val="hybridMultilevel"/>
    <w:tmpl w:val="F26EFC12"/>
    <w:lvl w:ilvl="0" w:tplc="B5F296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60559"/>
    <w:multiLevelType w:val="hybridMultilevel"/>
    <w:tmpl w:val="A692BBA2"/>
    <w:lvl w:ilvl="0" w:tplc="EA5C5560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abstractNum w:abstractNumId="5" w15:restartNumberingAfterBreak="0">
    <w:nsid w:val="4FD97C2B"/>
    <w:multiLevelType w:val="hybridMultilevel"/>
    <w:tmpl w:val="BFEC78C4"/>
    <w:lvl w:ilvl="0" w:tplc="14C640E4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D9"/>
    <w:rsid w:val="0000252E"/>
    <w:rsid w:val="00002FE5"/>
    <w:rsid w:val="000030A6"/>
    <w:rsid w:val="00003711"/>
    <w:rsid w:val="00014839"/>
    <w:rsid w:val="00015416"/>
    <w:rsid w:val="0002017D"/>
    <w:rsid w:val="00023235"/>
    <w:rsid w:val="000235C1"/>
    <w:rsid w:val="00025D2D"/>
    <w:rsid w:val="00027593"/>
    <w:rsid w:val="00027BDA"/>
    <w:rsid w:val="00032612"/>
    <w:rsid w:val="00034C51"/>
    <w:rsid w:val="000365B7"/>
    <w:rsid w:val="00046185"/>
    <w:rsid w:val="000574E2"/>
    <w:rsid w:val="00067380"/>
    <w:rsid w:val="0007145B"/>
    <w:rsid w:val="00080BA7"/>
    <w:rsid w:val="00080E73"/>
    <w:rsid w:val="0008575A"/>
    <w:rsid w:val="00087408"/>
    <w:rsid w:val="000B0506"/>
    <w:rsid w:val="000B29D1"/>
    <w:rsid w:val="000B5D4D"/>
    <w:rsid w:val="000B7507"/>
    <w:rsid w:val="000C3A8F"/>
    <w:rsid w:val="000C6287"/>
    <w:rsid w:val="000D6AF8"/>
    <w:rsid w:val="000E466B"/>
    <w:rsid w:val="000E58FA"/>
    <w:rsid w:val="00102104"/>
    <w:rsid w:val="00103840"/>
    <w:rsid w:val="00104318"/>
    <w:rsid w:val="00111BA2"/>
    <w:rsid w:val="00115462"/>
    <w:rsid w:val="001166FA"/>
    <w:rsid w:val="00121859"/>
    <w:rsid w:val="0012526E"/>
    <w:rsid w:val="001273D5"/>
    <w:rsid w:val="00137BE4"/>
    <w:rsid w:val="00143077"/>
    <w:rsid w:val="00143184"/>
    <w:rsid w:val="00143D23"/>
    <w:rsid w:val="001546EB"/>
    <w:rsid w:val="001548F4"/>
    <w:rsid w:val="001576FA"/>
    <w:rsid w:val="00157931"/>
    <w:rsid w:val="00163FA7"/>
    <w:rsid w:val="00166FCA"/>
    <w:rsid w:val="001716DA"/>
    <w:rsid w:val="00181A2F"/>
    <w:rsid w:val="00183648"/>
    <w:rsid w:val="00183FBB"/>
    <w:rsid w:val="00192EFF"/>
    <w:rsid w:val="00193509"/>
    <w:rsid w:val="00194C5F"/>
    <w:rsid w:val="001A3C27"/>
    <w:rsid w:val="001A4585"/>
    <w:rsid w:val="001A7357"/>
    <w:rsid w:val="001A7A3F"/>
    <w:rsid w:val="001B63A4"/>
    <w:rsid w:val="001C14E7"/>
    <w:rsid w:val="001C464B"/>
    <w:rsid w:val="001D044F"/>
    <w:rsid w:val="001D5F21"/>
    <w:rsid w:val="001D7972"/>
    <w:rsid w:val="001E055C"/>
    <w:rsid w:val="001E230A"/>
    <w:rsid w:val="001E2D48"/>
    <w:rsid w:val="001E6FBE"/>
    <w:rsid w:val="001F55EB"/>
    <w:rsid w:val="002032F0"/>
    <w:rsid w:val="002106F9"/>
    <w:rsid w:val="00212A40"/>
    <w:rsid w:val="00213210"/>
    <w:rsid w:val="002177FF"/>
    <w:rsid w:val="002228A7"/>
    <w:rsid w:val="00225FC4"/>
    <w:rsid w:val="00227790"/>
    <w:rsid w:val="00230963"/>
    <w:rsid w:val="00232351"/>
    <w:rsid w:val="002330AB"/>
    <w:rsid w:val="00236375"/>
    <w:rsid w:val="00240157"/>
    <w:rsid w:val="00244044"/>
    <w:rsid w:val="00244391"/>
    <w:rsid w:val="00251889"/>
    <w:rsid w:val="002539B2"/>
    <w:rsid w:val="0025446C"/>
    <w:rsid w:val="002547F2"/>
    <w:rsid w:val="0025536D"/>
    <w:rsid w:val="002728D6"/>
    <w:rsid w:val="00283BBA"/>
    <w:rsid w:val="002849B3"/>
    <w:rsid w:val="00286E60"/>
    <w:rsid w:val="00291524"/>
    <w:rsid w:val="002959C9"/>
    <w:rsid w:val="002A20AD"/>
    <w:rsid w:val="002A4E38"/>
    <w:rsid w:val="002B42C1"/>
    <w:rsid w:val="002B7731"/>
    <w:rsid w:val="002C54E3"/>
    <w:rsid w:val="002C6AEC"/>
    <w:rsid w:val="002C76D7"/>
    <w:rsid w:val="002C7F13"/>
    <w:rsid w:val="002D5CA3"/>
    <w:rsid w:val="002D60B4"/>
    <w:rsid w:val="002E3356"/>
    <w:rsid w:val="002E61DA"/>
    <w:rsid w:val="002E71CE"/>
    <w:rsid w:val="002F08D9"/>
    <w:rsid w:val="00300EE7"/>
    <w:rsid w:val="00304481"/>
    <w:rsid w:val="003047E1"/>
    <w:rsid w:val="00311269"/>
    <w:rsid w:val="00317B36"/>
    <w:rsid w:val="0032763C"/>
    <w:rsid w:val="00330014"/>
    <w:rsid w:val="00330F2D"/>
    <w:rsid w:val="00332A35"/>
    <w:rsid w:val="00333BD2"/>
    <w:rsid w:val="00334F01"/>
    <w:rsid w:val="00342755"/>
    <w:rsid w:val="00343930"/>
    <w:rsid w:val="00345D0E"/>
    <w:rsid w:val="00346DCD"/>
    <w:rsid w:val="00350214"/>
    <w:rsid w:val="00361D54"/>
    <w:rsid w:val="00364010"/>
    <w:rsid w:val="00374302"/>
    <w:rsid w:val="003760A3"/>
    <w:rsid w:val="0037707F"/>
    <w:rsid w:val="003807C1"/>
    <w:rsid w:val="0038104F"/>
    <w:rsid w:val="00384934"/>
    <w:rsid w:val="0038618F"/>
    <w:rsid w:val="00386D23"/>
    <w:rsid w:val="00390306"/>
    <w:rsid w:val="003A34D1"/>
    <w:rsid w:val="003A3856"/>
    <w:rsid w:val="003B22AC"/>
    <w:rsid w:val="003B36FA"/>
    <w:rsid w:val="003B63DF"/>
    <w:rsid w:val="003C24F1"/>
    <w:rsid w:val="003C2A6D"/>
    <w:rsid w:val="003C50C4"/>
    <w:rsid w:val="003C7E64"/>
    <w:rsid w:val="003E321F"/>
    <w:rsid w:val="003E4D4D"/>
    <w:rsid w:val="003F0CA2"/>
    <w:rsid w:val="003F224B"/>
    <w:rsid w:val="003F26DA"/>
    <w:rsid w:val="00400B45"/>
    <w:rsid w:val="00413256"/>
    <w:rsid w:val="00415AC9"/>
    <w:rsid w:val="00420C9F"/>
    <w:rsid w:val="004239BC"/>
    <w:rsid w:val="00423AC8"/>
    <w:rsid w:val="004266AE"/>
    <w:rsid w:val="00427B0C"/>
    <w:rsid w:val="0044180C"/>
    <w:rsid w:val="0044325A"/>
    <w:rsid w:val="004449AC"/>
    <w:rsid w:val="004455E4"/>
    <w:rsid w:val="0045013B"/>
    <w:rsid w:val="00461D64"/>
    <w:rsid w:val="00465911"/>
    <w:rsid w:val="0047215E"/>
    <w:rsid w:val="004742C1"/>
    <w:rsid w:val="00474C50"/>
    <w:rsid w:val="00475197"/>
    <w:rsid w:val="004779B2"/>
    <w:rsid w:val="0048111E"/>
    <w:rsid w:val="00484759"/>
    <w:rsid w:val="00492068"/>
    <w:rsid w:val="004B7703"/>
    <w:rsid w:val="004B78CD"/>
    <w:rsid w:val="004C3FA2"/>
    <w:rsid w:val="004C4C32"/>
    <w:rsid w:val="004C5B64"/>
    <w:rsid w:val="004C7AD9"/>
    <w:rsid w:val="004D181C"/>
    <w:rsid w:val="004D2874"/>
    <w:rsid w:val="004D32D0"/>
    <w:rsid w:val="004E34AF"/>
    <w:rsid w:val="004E4BE5"/>
    <w:rsid w:val="004E6A7A"/>
    <w:rsid w:val="00500465"/>
    <w:rsid w:val="00500DC8"/>
    <w:rsid w:val="00501055"/>
    <w:rsid w:val="0050386A"/>
    <w:rsid w:val="00504962"/>
    <w:rsid w:val="00507B80"/>
    <w:rsid w:val="0051135F"/>
    <w:rsid w:val="00511886"/>
    <w:rsid w:val="00512108"/>
    <w:rsid w:val="00515F10"/>
    <w:rsid w:val="00520706"/>
    <w:rsid w:val="00522362"/>
    <w:rsid w:val="00531AB3"/>
    <w:rsid w:val="00534A82"/>
    <w:rsid w:val="00535DA3"/>
    <w:rsid w:val="005476A4"/>
    <w:rsid w:val="00550CE3"/>
    <w:rsid w:val="0055175A"/>
    <w:rsid w:val="00552E99"/>
    <w:rsid w:val="005578F6"/>
    <w:rsid w:val="00561166"/>
    <w:rsid w:val="00561B81"/>
    <w:rsid w:val="00564BA4"/>
    <w:rsid w:val="0056759A"/>
    <w:rsid w:val="0057620E"/>
    <w:rsid w:val="00582606"/>
    <w:rsid w:val="005845D7"/>
    <w:rsid w:val="00585073"/>
    <w:rsid w:val="005944FC"/>
    <w:rsid w:val="005A06FE"/>
    <w:rsid w:val="005A15EA"/>
    <w:rsid w:val="005A2671"/>
    <w:rsid w:val="005A436E"/>
    <w:rsid w:val="005A540B"/>
    <w:rsid w:val="005A5A20"/>
    <w:rsid w:val="005A632F"/>
    <w:rsid w:val="005B1403"/>
    <w:rsid w:val="005B7559"/>
    <w:rsid w:val="005D25C9"/>
    <w:rsid w:val="005D61F2"/>
    <w:rsid w:val="005D6941"/>
    <w:rsid w:val="005F6F05"/>
    <w:rsid w:val="006057EB"/>
    <w:rsid w:val="00610A9C"/>
    <w:rsid w:val="00615E9E"/>
    <w:rsid w:val="00622B44"/>
    <w:rsid w:val="00623E3E"/>
    <w:rsid w:val="00626F94"/>
    <w:rsid w:val="00632A0D"/>
    <w:rsid w:val="00636293"/>
    <w:rsid w:val="00636B79"/>
    <w:rsid w:val="00641181"/>
    <w:rsid w:val="006411E2"/>
    <w:rsid w:val="006458AE"/>
    <w:rsid w:val="00650F75"/>
    <w:rsid w:val="006512B9"/>
    <w:rsid w:val="00653448"/>
    <w:rsid w:val="0066058B"/>
    <w:rsid w:val="00665B55"/>
    <w:rsid w:val="00666B25"/>
    <w:rsid w:val="00670EA9"/>
    <w:rsid w:val="00672784"/>
    <w:rsid w:val="00681A65"/>
    <w:rsid w:val="00682C60"/>
    <w:rsid w:val="006932AF"/>
    <w:rsid w:val="00695364"/>
    <w:rsid w:val="00696AAF"/>
    <w:rsid w:val="006A1D12"/>
    <w:rsid w:val="006A444A"/>
    <w:rsid w:val="006A576B"/>
    <w:rsid w:val="006A6922"/>
    <w:rsid w:val="006B1599"/>
    <w:rsid w:val="006B252D"/>
    <w:rsid w:val="006B766D"/>
    <w:rsid w:val="006D0650"/>
    <w:rsid w:val="006D2953"/>
    <w:rsid w:val="006D4060"/>
    <w:rsid w:val="006E5F2E"/>
    <w:rsid w:val="006F0738"/>
    <w:rsid w:val="006F5509"/>
    <w:rsid w:val="00701FFC"/>
    <w:rsid w:val="00704878"/>
    <w:rsid w:val="00706030"/>
    <w:rsid w:val="00710408"/>
    <w:rsid w:val="00714B0C"/>
    <w:rsid w:val="007229C7"/>
    <w:rsid w:val="00737235"/>
    <w:rsid w:val="00740A1B"/>
    <w:rsid w:val="007414F9"/>
    <w:rsid w:val="007433EB"/>
    <w:rsid w:val="007501DD"/>
    <w:rsid w:val="00753FBD"/>
    <w:rsid w:val="00754711"/>
    <w:rsid w:val="00755A7B"/>
    <w:rsid w:val="00755C8C"/>
    <w:rsid w:val="0075701C"/>
    <w:rsid w:val="007628CC"/>
    <w:rsid w:val="00764BE9"/>
    <w:rsid w:val="00765A7C"/>
    <w:rsid w:val="0077108A"/>
    <w:rsid w:val="00772DDD"/>
    <w:rsid w:val="00784227"/>
    <w:rsid w:val="00785623"/>
    <w:rsid w:val="00786968"/>
    <w:rsid w:val="00787474"/>
    <w:rsid w:val="0079300E"/>
    <w:rsid w:val="00793268"/>
    <w:rsid w:val="007A0A0B"/>
    <w:rsid w:val="007A7512"/>
    <w:rsid w:val="007A7797"/>
    <w:rsid w:val="007C118F"/>
    <w:rsid w:val="007C2AFC"/>
    <w:rsid w:val="007D115C"/>
    <w:rsid w:val="007D4E14"/>
    <w:rsid w:val="007D737C"/>
    <w:rsid w:val="007E7704"/>
    <w:rsid w:val="007F1951"/>
    <w:rsid w:val="007F2029"/>
    <w:rsid w:val="007F4B42"/>
    <w:rsid w:val="007F6642"/>
    <w:rsid w:val="007F7854"/>
    <w:rsid w:val="0080263E"/>
    <w:rsid w:val="00802AA4"/>
    <w:rsid w:val="008073AA"/>
    <w:rsid w:val="00810A04"/>
    <w:rsid w:val="00812BFC"/>
    <w:rsid w:val="0081357D"/>
    <w:rsid w:val="00814EEA"/>
    <w:rsid w:val="008248AB"/>
    <w:rsid w:val="008272B0"/>
    <w:rsid w:val="0083299E"/>
    <w:rsid w:val="0083323D"/>
    <w:rsid w:val="008435D9"/>
    <w:rsid w:val="00843874"/>
    <w:rsid w:val="00850236"/>
    <w:rsid w:val="00856E8F"/>
    <w:rsid w:val="0086146B"/>
    <w:rsid w:val="0086223D"/>
    <w:rsid w:val="00862D30"/>
    <w:rsid w:val="008656C5"/>
    <w:rsid w:val="00874865"/>
    <w:rsid w:val="008751D4"/>
    <w:rsid w:val="0087628D"/>
    <w:rsid w:val="00882251"/>
    <w:rsid w:val="00891F77"/>
    <w:rsid w:val="008961B5"/>
    <w:rsid w:val="00896C4D"/>
    <w:rsid w:val="008971AC"/>
    <w:rsid w:val="008A494F"/>
    <w:rsid w:val="008C0B42"/>
    <w:rsid w:val="008C3C40"/>
    <w:rsid w:val="008C5D84"/>
    <w:rsid w:val="008C6903"/>
    <w:rsid w:val="008D0871"/>
    <w:rsid w:val="008D5FA7"/>
    <w:rsid w:val="008E2454"/>
    <w:rsid w:val="008E60C7"/>
    <w:rsid w:val="008F2D24"/>
    <w:rsid w:val="008F30EC"/>
    <w:rsid w:val="008F78AF"/>
    <w:rsid w:val="009103F5"/>
    <w:rsid w:val="00912EA2"/>
    <w:rsid w:val="00913DDA"/>
    <w:rsid w:val="00914FA6"/>
    <w:rsid w:val="00922181"/>
    <w:rsid w:val="00922DD2"/>
    <w:rsid w:val="009313C3"/>
    <w:rsid w:val="00937EA1"/>
    <w:rsid w:val="00940566"/>
    <w:rsid w:val="00943240"/>
    <w:rsid w:val="0094586E"/>
    <w:rsid w:val="00950786"/>
    <w:rsid w:val="00957349"/>
    <w:rsid w:val="009626C3"/>
    <w:rsid w:val="00964A45"/>
    <w:rsid w:val="0097089A"/>
    <w:rsid w:val="00971DE0"/>
    <w:rsid w:val="00972F02"/>
    <w:rsid w:val="0097336B"/>
    <w:rsid w:val="00981551"/>
    <w:rsid w:val="009819FE"/>
    <w:rsid w:val="009858AE"/>
    <w:rsid w:val="009A41B0"/>
    <w:rsid w:val="009A5487"/>
    <w:rsid w:val="009A6478"/>
    <w:rsid w:val="009B3576"/>
    <w:rsid w:val="009C080A"/>
    <w:rsid w:val="009C14A3"/>
    <w:rsid w:val="009C79D8"/>
    <w:rsid w:val="009D5F36"/>
    <w:rsid w:val="009D7211"/>
    <w:rsid w:val="009D72C2"/>
    <w:rsid w:val="009D7E81"/>
    <w:rsid w:val="009E1E99"/>
    <w:rsid w:val="009F70F8"/>
    <w:rsid w:val="00A032F8"/>
    <w:rsid w:val="00A0589B"/>
    <w:rsid w:val="00A15074"/>
    <w:rsid w:val="00A278D6"/>
    <w:rsid w:val="00A408BA"/>
    <w:rsid w:val="00A428E7"/>
    <w:rsid w:val="00A43974"/>
    <w:rsid w:val="00A4602A"/>
    <w:rsid w:val="00A50418"/>
    <w:rsid w:val="00A5285B"/>
    <w:rsid w:val="00A605CB"/>
    <w:rsid w:val="00A672C5"/>
    <w:rsid w:val="00A7027D"/>
    <w:rsid w:val="00A711AC"/>
    <w:rsid w:val="00A72ACC"/>
    <w:rsid w:val="00A73C91"/>
    <w:rsid w:val="00A751D8"/>
    <w:rsid w:val="00A76016"/>
    <w:rsid w:val="00A76632"/>
    <w:rsid w:val="00A77C0E"/>
    <w:rsid w:val="00A80C6E"/>
    <w:rsid w:val="00A91CBE"/>
    <w:rsid w:val="00A94F39"/>
    <w:rsid w:val="00AA17BB"/>
    <w:rsid w:val="00AB2025"/>
    <w:rsid w:val="00AB3AC9"/>
    <w:rsid w:val="00AB5FAB"/>
    <w:rsid w:val="00AD201B"/>
    <w:rsid w:val="00AD5E3C"/>
    <w:rsid w:val="00AD62BE"/>
    <w:rsid w:val="00AE703C"/>
    <w:rsid w:val="00AE7A23"/>
    <w:rsid w:val="00B01E9A"/>
    <w:rsid w:val="00B05FD7"/>
    <w:rsid w:val="00B258F3"/>
    <w:rsid w:val="00B333AB"/>
    <w:rsid w:val="00B41BB2"/>
    <w:rsid w:val="00B42240"/>
    <w:rsid w:val="00B44054"/>
    <w:rsid w:val="00B5282C"/>
    <w:rsid w:val="00B544C5"/>
    <w:rsid w:val="00B567FA"/>
    <w:rsid w:val="00B568B4"/>
    <w:rsid w:val="00B65640"/>
    <w:rsid w:val="00B84DBE"/>
    <w:rsid w:val="00B85819"/>
    <w:rsid w:val="00B85B96"/>
    <w:rsid w:val="00B85F76"/>
    <w:rsid w:val="00B869FF"/>
    <w:rsid w:val="00B9034E"/>
    <w:rsid w:val="00B93F7D"/>
    <w:rsid w:val="00BA004A"/>
    <w:rsid w:val="00BA4CAC"/>
    <w:rsid w:val="00BA54D3"/>
    <w:rsid w:val="00BA6514"/>
    <w:rsid w:val="00BC4299"/>
    <w:rsid w:val="00BC6A11"/>
    <w:rsid w:val="00BD0D45"/>
    <w:rsid w:val="00BD131F"/>
    <w:rsid w:val="00BD2066"/>
    <w:rsid w:val="00BE1274"/>
    <w:rsid w:val="00BE540C"/>
    <w:rsid w:val="00BE7743"/>
    <w:rsid w:val="00BF05CD"/>
    <w:rsid w:val="00BF3672"/>
    <w:rsid w:val="00BF7267"/>
    <w:rsid w:val="00C1080A"/>
    <w:rsid w:val="00C11E4B"/>
    <w:rsid w:val="00C14493"/>
    <w:rsid w:val="00C14DC0"/>
    <w:rsid w:val="00C14FA1"/>
    <w:rsid w:val="00C2025B"/>
    <w:rsid w:val="00C21095"/>
    <w:rsid w:val="00C22F95"/>
    <w:rsid w:val="00C330C4"/>
    <w:rsid w:val="00C36F11"/>
    <w:rsid w:val="00C4547A"/>
    <w:rsid w:val="00C5145E"/>
    <w:rsid w:val="00C52571"/>
    <w:rsid w:val="00C57758"/>
    <w:rsid w:val="00C637AE"/>
    <w:rsid w:val="00C64B8D"/>
    <w:rsid w:val="00C66458"/>
    <w:rsid w:val="00C666A1"/>
    <w:rsid w:val="00C6724F"/>
    <w:rsid w:val="00C75ABB"/>
    <w:rsid w:val="00C82C92"/>
    <w:rsid w:val="00C84928"/>
    <w:rsid w:val="00C8583F"/>
    <w:rsid w:val="00C9245C"/>
    <w:rsid w:val="00CA11C0"/>
    <w:rsid w:val="00CA2A80"/>
    <w:rsid w:val="00CA6B6F"/>
    <w:rsid w:val="00CA705E"/>
    <w:rsid w:val="00CA7812"/>
    <w:rsid w:val="00CB0AB4"/>
    <w:rsid w:val="00CC1205"/>
    <w:rsid w:val="00CC6ADC"/>
    <w:rsid w:val="00CD00C5"/>
    <w:rsid w:val="00CD6082"/>
    <w:rsid w:val="00CD7631"/>
    <w:rsid w:val="00CF1EB5"/>
    <w:rsid w:val="00CF2921"/>
    <w:rsid w:val="00D117F0"/>
    <w:rsid w:val="00D11DE1"/>
    <w:rsid w:val="00D31BAB"/>
    <w:rsid w:val="00D34241"/>
    <w:rsid w:val="00D35306"/>
    <w:rsid w:val="00D3707E"/>
    <w:rsid w:val="00D4142A"/>
    <w:rsid w:val="00D510CF"/>
    <w:rsid w:val="00D53AD3"/>
    <w:rsid w:val="00D567AA"/>
    <w:rsid w:val="00D6208D"/>
    <w:rsid w:val="00D7369E"/>
    <w:rsid w:val="00D82F33"/>
    <w:rsid w:val="00D870CC"/>
    <w:rsid w:val="00D87529"/>
    <w:rsid w:val="00D911ED"/>
    <w:rsid w:val="00DA6605"/>
    <w:rsid w:val="00DA68C7"/>
    <w:rsid w:val="00DB4897"/>
    <w:rsid w:val="00DC2CB6"/>
    <w:rsid w:val="00DD64AB"/>
    <w:rsid w:val="00DE191E"/>
    <w:rsid w:val="00DE315B"/>
    <w:rsid w:val="00DE3986"/>
    <w:rsid w:val="00DF5BF0"/>
    <w:rsid w:val="00DF7446"/>
    <w:rsid w:val="00E00620"/>
    <w:rsid w:val="00E01DD2"/>
    <w:rsid w:val="00E046F4"/>
    <w:rsid w:val="00E056D6"/>
    <w:rsid w:val="00E10162"/>
    <w:rsid w:val="00E11BFE"/>
    <w:rsid w:val="00E122EC"/>
    <w:rsid w:val="00E152EB"/>
    <w:rsid w:val="00E20A29"/>
    <w:rsid w:val="00E235BB"/>
    <w:rsid w:val="00E2414A"/>
    <w:rsid w:val="00E24A0B"/>
    <w:rsid w:val="00E34BC7"/>
    <w:rsid w:val="00E35BEC"/>
    <w:rsid w:val="00E35E26"/>
    <w:rsid w:val="00E379F8"/>
    <w:rsid w:val="00E40647"/>
    <w:rsid w:val="00E40DC6"/>
    <w:rsid w:val="00E55EA1"/>
    <w:rsid w:val="00E602DA"/>
    <w:rsid w:val="00E61514"/>
    <w:rsid w:val="00E616F5"/>
    <w:rsid w:val="00E6193D"/>
    <w:rsid w:val="00E62555"/>
    <w:rsid w:val="00E628DF"/>
    <w:rsid w:val="00E65C2E"/>
    <w:rsid w:val="00E6716E"/>
    <w:rsid w:val="00E70BDF"/>
    <w:rsid w:val="00E7522C"/>
    <w:rsid w:val="00E778B8"/>
    <w:rsid w:val="00E83CCA"/>
    <w:rsid w:val="00E84365"/>
    <w:rsid w:val="00E94EDB"/>
    <w:rsid w:val="00E977E0"/>
    <w:rsid w:val="00EA0E49"/>
    <w:rsid w:val="00EA4F76"/>
    <w:rsid w:val="00EA4F87"/>
    <w:rsid w:val="00EA5127"/>
    <w:rsid w:val="00EA69A6"/>
    <w:rsid w:val="00EA6C31"/>
    <w:rsid w:val="00EA7C3E"/>
    <w:rsid w:val="00EB4F42"/>
    <w:rsid w:val="00ED0D52"/>
    <w:rsid w:val="00ED2D3F"/>
    <w:rsid w:val="00ED4F43"/>
    <w:rsid w:val="00ED5FF9"/>
    <w:rsid w:val="00ED6846"/>
    <w:rsid w:val="00EE568F"/>
    <w:rsid w:val="00EE589B"/>
    <w:rsid w:val="00EF1F4C"/>
    <w:rsid w:val="00F11F05"/>
    <w:rsid w:val="00F20ECB"/>
    <w:rsid w:val="00F2388B"/>
    <w:rsid w:val="00F26318"/>
    <w:rsid w:val="00F31463"/>
    <w:rsid w:val="00F32BDE"/>
    <w:rsid w:val="00F36971"/>
    <w:rsid w:val="00F369EF"/>
    <w:rsid w:val="00F36BFB"/>
    <w:rsid w:val="00F43F51"/>
    <w:rsid w:val="00F4432F"/>
    <w:rsid w:val="00F44CAB"/>
    <w:rsid w:val="00F55A4A"/>
    <w:rsid w:val="00F56698"/>
    <w:rsid w:val="00F87A21"/>
    <w:rsid w:val="00F926F1"/>
    <w:rsid w:val="00F95149"/>
    <w:rsid w:val="00FA2690"/>
    <w:rsid w:val="00FA4233"/>
    <w:rsid w:val="00FA5D73"/>
    <w:rsid w:val="00FA65BE"/>
    <w:rsid w:val="00FB264F"/>
    <w:rsid w:val="00FB6102"/>
    <w:rsid w:val="00FB711D"/>
    <w:rsid w:val="00FC16D1"/>
    <w:rsid w:val="00FC5387"/>
    <w:rsid w:val="00FD1EF6"/>
    <w:rsid w:val="00FE532C"/>
    <w:rsid w:val="00FE7B1F"/>
    <w:rsid w:val="00FF36AF"/>
    <w:rsid w:val="00FF446A"/>
    <w:rsid w:val="00FF4913"/>
    <w:rsid w:val="00FF69B3"/>
    <w:rsid w:val="00FF6C2F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DD2144-1038-43F9-9B90-63D739AC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17D"/>
    <w:pPr>
      <w:spacing w:after="0" w:line="240" w:lineRule="auto"/>
      <w:jc w:val="both"/>
    </w:pPr>
    <w:rPr>
      <w:color w:val="262626"/>
    </w:rPr>
  </w:style>
  <w:style w:type="paragraph" w:styleId="Ttulo1">
    <w:name w:val="heading 1"/>
    <w:basedOn w:val="Normal"/>
    <w:next w:val="Normal"/>
    <w:link w:val="Ttulo1Char"/>
    <w:qFormat/>
    <w:rsid w:val="00FA65BE"/>
    <w:pPr>
      <w:keepNext/>
      <w:spacing w:after="48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val="it-IT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F33"/>
    <w:pPr>
      <w:keepNext/>
      <w:keepLines/>
      <w:spacing w:before="40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04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0465"/>
    <w:rPr>
      <w:lang w:val="fr-FR"/>
    </w:rPr>
  </w:style>
  <w:style w:type="paragraph" w:styleId="Rodap">
    <w:name w:val="footer"/>
    <w:basedOn w:val="Normal"/>
    <w:link w:val="RodapChar"/>
    <w:uiPriority w:val="99"/>
    <w:unhideWhenUsed/>
    <w:rsid w:val="005004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0465"/>
    <w:rPr>
      <w:lang w:val="fr-FR"/>
    </w:rPr>
  </w:style>
  <w:style w:type="table" w:styleId="Tabelacomgrade">
    <w:name w:val="Table Grid"/>
    <w:basedOn w:val="Tabelanormal"/>
    <w:uiPriority w:val="39"/>
    <w:rsid w:val="00A77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tabelasilustracoes">
    <w:name w:val="_texto_tabelas_ilustracoes"/>
    <w:autoRedefine/>
    <w:qFormat/>
    <w:rsid w:val="00922DD2"/>
    <w:pPr>
      <w:spacing w:after="0" w:line="240" w:lineRule="auto"/>
    </w:pPr>
    <w:rPr>
      <w:color w:val="262626"/>
      <w:sz w:val="20"/>
    </w:rPr>
  </w:style>
  <w:style w:type="character" w:styleId="Nmerodepgina">
    <w:name w:val="page number"/>
    <w:basedOn w:val="Fontepargpadro"/>
    <w:uiPriority w:val="99"/>
    <w:unhideWhenUsed/>
    <w:rsid w:val="00332A35"/>
  </w:style>
  <w:style w:type="character" w:customStyle="1" w:styleId="Ttulo1Char">
    <w:name w:val="Título 1 Char"/>
    <w:basedOn w:val="Fontepargpadro"/>
    <w:link w:val="Ttulo1"/>
    <w:rsid w:val="00FA65BE"/>
    <w:rPr>
      <w:rFonts w:ascii="Times New Roman" w:eastAsia="Times New Roman" w:hAnsi="Times New Roman" w:cs="Times New Roman"/>
      <w:b/>
      <w:bCs/>
      <w:sz w:val="30"/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88B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88B"/>
    <w:rPr>
      <w:rFonts w:ascii="Lucida Grande" w:hAnsi="Lucida Grande"/>
      <w:sz w:val="18"/>
      <w:szCs w:val="18"/>
      <w:lang w:val="fr-FR"/>
    </w:rPr>
  </w:style>
  <w:style w:type="paragraph" w:customStyle="1" w:styleId="secaosecundaria">
    <w:name w:val="_secao_secundaria"/>
    <w:basedOn w:val="Normal"/>
    <w:autoRedefine/>
    <w:qFormat/>
    <w:rsid w:val="004C5B64"/>
    <w:pPr>
      <w:spacing w:before="480" w:after="240"/>
      <w:ind w:left="2835"/>
      <w:jc w:val="left"/>
    </w:pPr>
    <w:rPr>
      <w:caps/>
      <w:szCs w:val="20"/>
    </w:rPr>
  </w:style>
  <w:style w:type="paragraph" w:customStyle="1" w:styleId="secaoterciaria">
    <w:name w:val="_secao_terciaria"/>
    <w:basedOn w:val="Normal"/>
    <w:autoRedefine/>
    <w:qFormat/>
    <w:rsid w:val="004C5B64"/>
    <w:pPr>
      <w:spacing w:before="480" w:after="240"/>
      <w:ind w:left="2835"/>
      <w:jc w:val="left"/>
    </w:pPr>
    <w:rPr>
      <w:szCs w:val="20"/>
    </w:rPr>
  </w:style>
  <w:style w:type="paragraph" w:styleId="SemEspaamento">
    <w:name w:val="No Spacing"/>
    <w:uiPriority w:val="1"/>
    <w:qFormat/>
    <w:rsid w:val="00104318"/>
    <w:pPr>
      <w:spacing w:after="0" w:line="240" w:lineRule="auto"/>
    </w:pPr>
    <w:rPr>
      <w:lang w:val="fr-FR"/>
    </w:rPr>
  </w:style>
  <w:style w:type="paragraph" w:customStyle="1" w:styleId="secaoquaternaria">
    <w:name w:val="_secao_quaternaria"/>
    <w:basedOn w:val="secaoterciaria"/>
    <w:autoRedefine/>
    <w:qFormat/>
    <w:rsid w:val="004C5B64"/>
  </w:style>
  <w:style w:type="paragraph" w:customStyle="1" w:styleId="secaoquinaria">
    <w:name w:val="_secao_quinaria"/>
    <w:basedOn w:val="secaoquaternaria"/>
    <w:autoRedefine/>
    <w:qFormat/>
    <w:rsid w:val="004C5B64"/>
    <w:rPr>
      <w:i/>
    </w:rPr>
  </w:style>
  <w:style w:type="paragraph" w:customStyle="1" w:styleId="linkrevista">
    <w:name w:val="_link_revista"/>
    <w:basedOn w:val="Normal"/>
    <w:autoRedefine/>
    <w:qFormat/>
    <w:rsid w:val="001D7972"/>
    <w:pPr>
      <w:jc w:val="right"/>
    </w:pPr>
    <w:rPr>
      <w:rFonts w:ascii="Arial" w:hAnsi="Arial" w:cs="Arial"/>
      <w:color w:val="0563C1"/>
      <w:sz w:val="14"/>
      <w:szCs w:val="14"/>
      <w:u w:val="single"/>
    </w:rPr>
  </w:style>
  <w:style w:type="paragraph" w:customStyle="1" w:styleId="tituloprincipal">
    <w:name w:val="_titulo_principal"/>
    <w:basedOn w:val="Normal"/>
    <w:autoRedefine/>
    <w:qFormat/>
    <w:rsid w:val="00B01E9A"/>
    <w:pPr>
      <w:spacing w:before="480" w:after="240"/>
      <w:jc w:val="left"/>
    </w:pPr>
    <w:rPr>
      <w:b/>
      <w:sz w:val="40"/>
      <w:szCs w:val="40"/>
    </w:rPr>
  </w:style>
  <w:style w:type="paragraph" w:customStyle="1" w:styleId="secaoprimcentral">
    <w:name w:val="_secao_prim_central"/>
    <w:basedOn w:val="Normal"/>
    <w:autoRedefine/>
    <w:qFormat/>
    <w:rsid w:val="004C5B64"/>
    <w:pPr>
      <w:spacing w:before="480" w:after="240"/>
      <w:jc w:val="center"/>
    </w:pPr>
    <w:rPr>
      <w:b/>
    </w:rPr>
  </w:style>
  <w:style w:type="paragraph" w:customStyle="1" w:styleId="autor">
    <w:name w:val="_autor"/>
    <w:basedOn w:val="Normal"/>
    <w:autoRedefine/>
    <w:qFormat/>
    <w:rsid w:val="001A4585"/>
    <w:pPr>
      <w:jc w:val="left"/>
    </w:pPr>
    <w:rPr>
      <w:rFonts w:ascii="Arial" w:hAnsi="Arial" w:cs="Arial"/>
      <w:b/>
      <w:sz w:val="14"/>
      <w:szCs w:val="14"/>
    </w:rPr>
  </w:style>
  <w:style w:type="paragraph" w:customStyle="1" w:styleId="emailautoreOrcid">
    <w:name w:val="_email_autor_e_Orcid"/>
    <w:basedOn w:val="Normal"/>
    <w:autoRedefine/>
    <w:qFormat/>
    <w:rsid w:val="00C14DC0"/>
    <w:pPr>
      <w:jc w:val="left"/>
    </w:pPr>
    <w:rPr>
      <w:rFonts w:ascii="Arial" w:hAnsi="Arial" w:cs="Arial"/>
      <w:color w:val="0563C1"/>
      <w:sz w:val="14"/>
      <w:szCs w:val="12"/>
      <w:u w:val="single"/>
    </w:rPr>
  </w:style>
  <w:style w:type="paragraph" w:customStyle="1" w:styleId="afiliacao">
    <w:name w:val="_afiliacao"/>
    <w:basedOn w:val="Normal"/>
    <w:autoRedefine/>
    <w:qFormat/>
    <w:rsid w:val="00C14DC0"/>
    <w:pPr>
      <w:spacing w:after="240"/>
      <w:jc w:val="left"/>
    </w:pPr>
    <w:rPr>
      <w:rFonts w:ascii="Arial" w:hAnsi="Arial" w:cs="Arial"/>
      <w:sz w:val="14"/>
      <w:szCs w:val="12"/>
    </w:rPr>
  </w:style>
  <w:style w:type="paragraph" w:customStyle="1" w:styleId="resumo">
    <w:name w:val="_resumo"/>
    <w:basedOn w:val="Normal"/>
    <w:autoRedefine/>
    <w:qFormat/>
    <w:rsid w:val="00666B25"/>
    <w:pPr>
      <w:spacing w:after="120"/>
    </w:pPr>
    <w:rPr>
      <w:bCs/>
      <w:color w:val="auto"/>
      <w:sz w:val="20"/>
      <w:szCs w:val="20"/>
    </w:rPr>
  </w:style>
  <w:style w:type="character" w:customStyle="1" w:styleId="palavras-chave">
    <w:name w:val="_palavras-chave"/>
    <w:basedOn w:val="Fontepargpadro"/>
    <w:uiPriority w:val="1"/>
    <w:qFormat/>
    <w:rsid w:val="004C5B64"/>
    <w:rPr>
      <w:rFonts w:asciiTheme="minorHAnsi" w:hAnsiTheme="minorHAnsi"/>
      <w:b/>
      <w:color w:val="262626"/>
      <w:sz w:val="20"/>
    </w:rPr>
  </w:style>
  <w:style w:type="character" w:customStyle="1" w:styleId="resumoanteposto">
    <w:name w:val="_resumo_anteposto"/>
    <w:basedOn w:val="Fontepargpadro"/>
    <w:uiPriority w:val="1"/>
    <w:qFormat/>
    <w:rsid w:val="00B42240"/>
    <w:rPr>
      <w:rFonts w:asciiTheme="minorHAnsi" w:hAnsiTheme="minorHAnsi"/>
      <w:b/>
      <w:color w:val="262626"/>
      <w:sz w:val="20"/>
    </w:rPr>
  </w:style>
  <w:style w:type="paragraph" w:customStyle="1" w:styleId="secaoprimaria">
    <w:name w:val="_secao_primaria"/>
    <w:basedOn w:val="Normal"/>
    <w:autoRedefine/>
    <w:qFormat/>
    <w:rsid w:val="00E616F5"/>
    <w:pPr>
      <w:spacing w:before="480"/>
      <w:ind w:left="2835" w:firstLine="567"/>
    </w:pPr>
    <w:rPr>
      <w:b/>
      <w:color w:val="auto"/>
    </w:rPr>
  </w:style>
  <w:style w:type="paragraph" w:customStyle="1" w:styleId="texto">
    <w:name w:val="_texto"/>
    <w:basedOn w:val="Normal"/>
    <w:autoRedefine/>
    <w:qFormat/>
    <w:rsid w:val="00666B25"/>
    <w:pPr>
      <w:spacing w:after="120"/>
      <w:ind w:left="2835" w:firstLine="567"/>
    </w:pPr>
  </w:style>
  <w:style w:type="paragraph" w:customStyle="1" w:styleId="legendabibliografica">
    <w:name w:val="_legenda_bibliografica"/>
    <w:basedOn w:val="Rodap"/>
    <w:autoRedefine/>
    <w:qFormat/>
    <w:rsid w:val="00330014"/>
    <w:pPr>
      <w:jc w:val="left"/>
    </w:pPr>
    <w:rPr>
      <w:rFonts w:ascii="Arial" w:hAnsi="Arial" w:cs="Arial"/>
      <w:sz w:val="14"/>
      <w:szCs w:val="14"/>
    </w:rPr>
  </w:style>
  <w:style w:type="paragraph" w:customStyle="1" w:styleId="tituloilustracao">
    <w:name w:val="_titulo_ilustracao"/>
    <w:basedOn w:val="Normal"/>
    <w:autoRedefine/>
    <w:qFormat/>
    <w:rsid w:val="00BD0D45"/>
    <w:pPr>
      <w:spacing w:before="240" w:after="40"/>
      <w:ind w:left="2835"/>
      <w:jc w:val="left"/>
    </w:pPr>
    <w:rPr>
      <w:sz w:val="20"/>
      <w:szCs w:val="20"/>
    </w:rPr>
  </w:style>
  <w:style w:type="paragraph" w:customStyle="1" w:styleId="referencias">
    <w:name w:val="_referencias"/>
    <w:basedOn w:val="Normal"/>
    <w:autoRedefine/>
    <w:qFormat/>
    <w:rsid w:val="00940566"/>
    <w:pPr>
      <w:spacing w:after="480"/>
      <w:ind w:left="2835"/>
      <w:jc w:val="left"/>
    </w:pPr>
    <w:rPr>
      <w:rFonts w:cs="Arial"/>
      <w:color w:val="auto"/>
      <w:szCs w:val="24"/>
      <w:lang w:val="en-AU" w:eastAsia="zh-CN"/>
    </w:rPr>
  </w:style>
  <w:style w:type="paragraph" w:customStyle="1" w:styleId="creditos">
    <w:name w:val="_creditos"/>
    <w:basedOn w:val="Normal"/>
    <w:next w:val="creditosanteposto"/>
    <w:link w:val="creditosChar"/>
    <w:autoRedefine/>
    <w:qFormat/>
    <w:rsid w:val="00E65C2E"/>
    <w:pPr>
      <w:spacing w:after="40"/>
      <w:jc w:val="left"/>
    </w:pPr>
    <w:rPr>
      <w:rFonts w:ascii="Arial" w:hAnsi="Arial" w:cs="Arial"/>
      <w:sz w:val="14"/>
      <w:szCs w:val="14"/>
    </w:rPr>
  </w:style>
  <w:style w:type="paragraph" w:customStyle="1" w:styleId="creditosanteposto">
    <w:name w:val="_creditos_anteposto"/>
    <w:basedOn w:val="Normal"/>
    <w:next w:val="Normal"/>
    <w:link w:val="creditosantepostoChar"/>
    <w:autoRedefine/>
    <w:qFormat/>
    <w:rsid w:val="004C5B64"/>
    <w:pPr>
      <w:spacing w:after="40"/>
      <w:jc w:val="left"/>
    </w:pPr>
    <w:rPr>
      <w:rFonts w:ascii="Arial" w:hAnsi="Arial"/>
      <w:b/>
      <w:sz w:val="14"/>
      <w:szCs w:val="20"/>
    </w:rPr>
  </w:style>
  <w:style w:type="paragraph" w:customStyle="1" w:styleId="tituloselementospostextuais">
    <w:name w:val="_titulos_elementos_pos_textuais"/>
    <w:basedOn w:val="secaoprimcentral"/>
    <w:autoRedefine/>
    <w:qFormat/>
    <w:rsid w:val="00F36971"/>
    <w:pPr>
      <w:ind w:left="2835"/>
    </w:pPr>
  </w:style>
  <w:style w:type="paragraph" w:customStyle="1" w:styleId="equacao">
    <w:name w:val="_equacao"/>
    <w:basedOn w:val="Normal"/>
    <w:autoRedefine/>
    <w:qFormat/>
    <w:rsid w:val="00882251"/>
    <w:pPr>
      <w:spacing w:before="240" w:after="240"/>
      <w:ind w:left="2835"/>
      <w:jc w:val="center"/>
    </w:pPr>
    <w:rPr>
      <w:sz w:val="20"/>
      <w:szCs w:val="20"/>
    </w:rPr>
  </w:style>
  <w:style w:type="paragraph" w:customStyle="1" w:styleId="imagens">
    <w:name w:val="_imagens"/>
    <w:basedOn w:val="Normal"/>
    <w:autoRedefine/>
    <w:qFormat/>
    <w:rsid w:val="00D11DE1"/>
    <w:pPr>
      <w:ind w:left="2835"/>
      <w:jc w:val="center"/>
    </w:pPr>
    <w:rPr>
      <w:sz w:val="20"/>
      <w:szCs w:val="20"/>
    </w:rPr>
  </w:style>
  <w:style w:type="paragraph" w:customStyle="1" w:styleId="citacaolonga">
    <w:name w:val="_citacao_longa"/>
    <w:basedOn w:val="texto"/>
    <w:autoRedefine/>
    <w:qFormat/>
    <w:rsid w:val="0075701C"/>
    <w:pPr>
      <w:spacing w:before="240" w:after="240"/>
      <w:ind w:left="4536" w:firstLine="0"/>
    </w:pPr>
    <w:rPr>
      <w:sz w:val="20"/>
    </w:rPr>
  </w:style>
  <w:style w:type="paragraph" w:customStyle="1" w:styleId="textotabelasilustracoesembranco">
    <w:name w:val="_texto_tabelas_ilustracoes_em_branco"/>
    <w:basedOn w:val="textotabelasilustracoes"/>
    <w:autoRedefine/>
    <w:qFormat/>
    <w:rsid w:val="004C5B64"/>
    <w:pPr>
      <w:jc w:val="center"/>
    </w:pPr>
    <w:rPr>
      <w:b/>
    </w:rPr>
  </w:style>
  <w:style w:type="character" w:customStyle="1" w:styleId="hyperlink">
    <w:name w:val="_hyperlink"/>
    <w:basedOn w:val="Fontepargpadro"/>
    <w:uiPriority w:val="1"/>
    <w:rsid w:val="00400B45"/>
    <w:rPr>
      <w:color w:val="0563C1"/>
      <w:u w:val="single"/>
    </w:rPr>
  </w:style>
  <w:style w:type="paragraph" w:customStyle="1" w:styleId="textonotaseagradecimentos">
    <w:name w:val="_texto_notas_e_agradecimentos"/>
    <w:basedOn w:val="texto"/>
    <w:autoRedefine/>
    <w:qFormat/>
    <w:rsid w:val="0075701C"/>
    <w:pPr>
      <w:ind w:firstLine="0"/>
      <w:jc w:val="center"/>
    </w:pPr>
    <w:rPr>
      <w:b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F33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Semlista1">
    <w:name w:val="Sem lista1"/>
    <w:next w:val="Semlista"/>
    <w:uiPriority w:val="99"/>
    <w:semiHidden/>
    <w:unhideWhenUsed/>
    <w:rsid w:val="00FF6F33"/>
  </w:style>
  <w:style w:type="table" w:customStyle="1" w:styleId="Tabelacomgrade1">
    <w:name w:val="Tabela com grade1"/>
    <w:basedOn w:val="Tabelanormal"/>
    <w:next w:val="Tabelacomgrade"/>
    <w:uiPriority w:val="39"/>
    <w:rsid w:val="00FF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0">
    <w:name w:val="Hyperlink"/>
    <w:basedOn w:val="Fontepargpadro"/>
    <w:uiPriority w:val="99"/>
    <w:unhideWhenUsed/>
    <w:rsid w:val="00FF6F33"/>
    <w:rPr>
      <w:color w:val="0563C1" w:themeColor="hyperlink"/>
      <w:u w:val="single"/>
    </w:rPr>
  </w:style>
  <w:style w:type="paragraph" w:customStyle="1" w:styleId="linkwwwrevista">
    <w:name w:val="_link_www_revista"/>
    <w:basedOn w:val="Normal"/>
    <w:qFormat/>
    <w:rsid w:val="00FF6F33"/>
    <w:pPr>
      <w:jc w:val="right"/>
    </w:pPr>
    <w:rPr>
      <w:rFonts w:ascii="Arial" w:hAnsi="Arial" w:cs="Arial"/>
      <w:color w:val="0563C1"/>
      <w:sz w:val="14"/>
      <w:szCs w:val="14"/>
    </w:rPr>
  </w:style>
  <w:style w:type="paragraph" w:customStyle="1" w:styleId="emailautor">
    <w:name w:val="_email_autor"/>
    <w:basedOn w:val="Normal"/>
    <w:qFormat/>
    <w:rsid w:val="00FF6F33"/>
    <w:pPr>
      <w:jc w:val="left"/>
    </w:pPr>
    <w:rPr>
      <w:rFonts w:ascii="Arial" w:hAnsi="Arial" w:cs="Arial"/>
      <w:color w:val="auto"/>
      <w:sz w:val="12"/>
      <w:szCs w:val="12"/>
    </w:rPr>
  </w:style>
  <w:style w:type="paragraph" w:customStyle="1" w:styleId="fonteilustracao">
    <w:name w:val="_fonte_ilustracao"/>
    <w:basedOn w:val="tituloilustracao"/>
    <w:autoRedefine/>
    <w:qFormat/>
    <w:rsid w:val="005944FC"/>
    <w:pPr>
      <w:spacing w:before="40" w:after="240"/>
      <w:contextualSpacing/>
    </w:pPr>
  </w:style>
  <w:style w:type="paragraph" w:customStyle="1" w:styleId="titulosanexos">
    <w:name w:val="_titulos_anexos"/>
    <w:basedOn w:val="secaoprimcentral"/>
    <w:autoRedefine/>
    <w:qFormat/>
    <w:rsid w:val="00636B79"/>
    <w:pPr>
      <w:ind w:left="2835"/>
    </w:pPr>
  </w:style>
  <w:style w:type="paragraph" w:styleId="Corpodetexto">
    <w:name w:val="Body Text"/>
    <w:basedOn w:val="Normal"/>
    <w:link w:val="CorpodetextoChar"/>
    <w:rsid w:val="00FF6F33"/>
    <w:pPr>
      <w:widowControl w:val="0"/>
      <w:spacing w:after="120"/>
    </w:pPr>
    <w:rPr>
      <w:rFonts w:ascii="Times New Roman" w:eastAsia="Times New Roman" w:hAnsi="Times New Roman" w:cs="Times New Roman"/>
      <w:color w:val="auto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rsid w:val="00FF6F33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customStyle="1" w:styleId="Alnea">
    <w:name w:val="Alínea"/>
    <w:basedOn w:val="Numerada"/>
    <w:rsid w:val="00FF6F33"/>
    <w:pPr>
      <w:spacing w:before="60" w:after="240"/>
      <w:jc w:val="both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Numerada">
    <w:name w:val="List Number"/>
    <w:basedOn w:val="Normal"/>
    <w:uiPriority w:val="99"/>
    <w:semiHidden/>
    <w:unhideWhenUsed/>
    <w:rsid w:val="00FF6F33"/>
    <w:pPr>
      <w:tabs>
        <w:tab w:val="num" w:pos="360"/>
      </w:tabs>
      <w:ind w:left="360" w:hanging="360"/>
      <w:contextualSpacing/>
      <w:jc w:val="left"/>
    </w:pPr>
    <w:rPr>
      <w:color w:val="auto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6F33"/>
    <w:pPr>
      <w:jc w:val="left"/>
    </w:pPr>
    <w:rPr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6F3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F6F33"/>
    <w:rPr>
      <w:sz w:val="18"/>
      <w:szCs w:val="18"/>
    </w:rPr>
  </w:style>
  <w:style w:type="character" w:styleId="nfase">
    <w:name w:val="Emphasis"/>
    <w:basedOn w:val="Fontepargpadro"/>
    <w:uiPriority w:val="20"/>
    <w:qFormat/>
    <w:rsid w:val="00FF6F33"/>
    <w:rPr>
      <w:i/>
      <w:iCs/>
    </w:rPr>
  </w:style>
  <w:style w:type="table" w:customStyle="1" w:styleId="SombreamentoClaro1">
    <w:name w:val="Sombreamento Claro1"/>
    <w:basedOn w:val="Tabelanormal"/>
    <w:uiPriority w:val="60"/>
    <w:semiHidden/>
    <w:unhideWhenUsed/>
    <w:rsid w:val="00FF6F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F6F33"/>
    <w:pPr>
      <w:jc w:val="left"/>
    </w:pPr>
    <w:rPr>
      <w:rFonts w:ascii="Consolas" w:hAnsi="Consolas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F6F33"/>
    <w:rPr>
      <w:rFonts w:ascii="Consolas" w:hAnsi="Consolas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F6F33"/>
    <w:rPr>
      <w:color w:val="954F72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5387"/>
    <w:pPr>
      <w:jc w:val="both"/>
    </w:pPr>
    <w:rPr>
      <w:b/>
      <w:bCs/>
      <w:color w:val="262626" w:themeColor="text1" w:themeTint="D9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5387"/>
    <w:rPr>
      <w:b/>
      <w:bCs/>
      <w:color w:val="262626" w:themeColor="text1" w:themeTint="D9"/>
      <w:sz w:val="20"/>
      <w:szCs w:val="20"/>
    </w:rPr>
  </w:style>
  <w:style w:type="character" w:customStyle="1" w:styleId="creditosantepostoChar">
    <w:name w:val="_creditos_anteposto Char"/>
    <w:basedOn w:val="Fontepargpadro"/>
    <w:link w:val="creditosanteposto"/>
    <w:rsid w:val="004C5B64"/>
    <w:rPr>
      <w:rFonts w:ascii="Arial" w:hAnsi="Arial"/>
      <w:b/>
      <w:color w:val="262626"/>
      <w:sz w:val="14"/>
      <w:szCs w:val="20"/>
    </w:rPr>
  </w:style>
  <w:style w:type="character" w:customStyle="1" w:styleId="creditosChar">
    <w:name w:val="_creditos Char"/>
    <w:basedOn w:val="Fontepargpadro"/>
    <w:link w:val="creditos"/>
    <w:rsid w:val="00E65C2E"/>
    <w:rPr>
      <w:rFonts w:ascii="Arial" w:hAnsi="Arial" w:cs="Arial"/>
      <w:color w:val="262626"/>
      <w:sz w:val="14"/>
      <w:szCs w:val="14"/>
    </w:rPr>
  </w:style>
  <w:style w:type="paragraph" w:customStyle="1" w:styleId="SectionBody">
    <w:name w:val="Section Body"/>
    <w:rsid w:val="00D11DE1"/>
    <w:pPr>
      <w:suppressAutoHyphens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NormalWeb">
    <w:name w:val="Normal (Web)"/>
    <w:basedOn w:val="Normal"/>
    <w:rsid w:val="002228A7"/>
    <w:pPr>
      <w:suppressAutoHyphens/>
      <w:spacing w:before="280" w:after="280" w:line="360" w:lineRule="auto"/>
      <w:jc w:val="left"/>
    </w:pPr>
    <w:rPr>
      <w:rFonts w:ascii="Times New Roman" w:eastAsia="Calibri" w:hAnsi="Times New Roman" w:cs="Times New Roman"/>
      <w:color w:val="auto"/>
      <w:sz w:val="24"/>
      <w:lang w:eastAsia="zh-CN"/>
    </w:rPr>
  </w:style>
  <w:style w:type="paragraph" w:styleId="Legenda">
    <w:name w:val="caption"/>
    <w:basedOn w:val="Normal"/>
    <w:next w:val="Normal"/>
    <w:qFormat/>
    <w:rsid w:val="00364010"/>
    <w:pPr>
      <w:spacing w:before="120" w:after="240"/>
      <w:contextualSpacing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it-IT" w:eastAsia="pt-BR"/>
    </w:rPr>
  </w:style>
  <w:style w:type="paragraph" w:customStyle="1" w:styleId="Figura">
    <w:name w:val="Figura"/>
    <w:basedOn w:val="Corpodetexto"/>
    <w:next w:val="Legenda"/>
    <w:rsid w:val="00364010"/>
    <w:pPr>
      <w:spacing w:before="240" w:after="0"/>
      <w:jc w:val="center"/>
    </w:pPr>
  </w:style>
  <w:style w:type="character" w:customStyle="1" w:styleId="hps">
    <w:name w:val="hps"/>
    <w:rsid w:val="00364010"/>
  </w:style>
  <w:style w:type="character" w:styleId="Forte">
    <w:name w:val="Strong"/>
    <w:basedOn w:val="Fontepargpadro"/>
    <w:uiPriority w:val="22"/>
    <w:qFormat/>
    <w:rsid w:val="00534A82"/>
    <w:rPr>
      <w:b/>
      <w:bCs/>
    </w:rPr>
  </w:style>
  <w:style w:type="paragraph" w:styleId="Reviso">
    <w:name w:val="Revision"/>
    <w:hidden/>
    <w:uiPriority w:val="99"/>
    <w:semiHidden/>
    <w:rsid w:val="00666B25"/>
    <w:pPr>
      <w:spacing w:after="0" w:line="240" w:lineRule="auto"/>
    </w:pPr>
    <w:rPr>
      <w:color w:val="262626"/>
    </w:rPr>
  </w:style>
  <w:style w:type="character" w:customStyle="1" w:styleId="text">
    <w:name w:val="text"/>
    <w:basedOn w:val="Fontepargpadro"/>
    <w:rsid w:val="00964A45"/>
  </w:style>
  <w:style w:type="character" w:customStyle="1" w:styleId="author-ref">
    <w:name w:val="author-ref"/>
    <w:basedOn w:val="Fontepargpadro"/>
    <w:rsid w:val="00964A45"/>
  </w:style>
  <w:style w:type="character" w:customStyle="1" w:styleId="sr-only">
    <w:name w:val="sr-only"/>
    <w:basedOn w:val="Fontepargpadro"/>
    <w:rsid w:val="0096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os.utfpr.edu.br//sei/sei201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os.utfpr.edu.br/%20//sei/sei2017/374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220D3-95E4-4713-806F-E7A0F6A8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2727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moraes</dc:creator>
  <cp:lastModifiedBy>Claudio Takeo Ueno</cp:lastModifiedBy>
  <cp:revision>6</cp:revision>
  <cp:lastPrinted>2017-08-10T20:27:00Z</cp:lastPrinted>
  <dcterms:created xsi:type="dcterms:W3CDTF">2017-10-16T19:48:00Z</dcterms:created>
  <dcterms:modified xsi:type="dcterms:W3CDTF">2017-10-16T20:52:00Z</dcterms:modified>
</cp:coreProperties>
</file>